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firstLine="720"/>
        <w:rPr>
          <w:rFonts w:ascii="Arial" w:hAnsi="Arial" w:cs="Arial"/>
          <w:b/>
          <w:b/>
          <w:sz w:val="32"/>
          <w:szCs w:val="32"/>
        </w:rPr>
      </w:pPr>
      <w:bookmarkStart w:id="0" w:name="__DdeLink__758_2990021377"/>
      <w:r>
        <w:rPr>
          <w:rFonts w:cs="Arial" w:ascii="Arial" w:hAnsi="Arial"/>
          <w:b/>
          <w:sz w:val="32"/>
          <w:szCs w:val="32"/>
        </w:rPr>
        <w:t>Справка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«Об итогах социально–экономического развития 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Есильского района</w:t>
      </w:r>
      <w:r>
        <w:rPr>
          <w:rFonts w:cs="Arial" w:ascii="Arial" w:hAnsi="Arial"/>
          <w:b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</w:rPr>
        <w:t>за  январь-</w:t>
      </w:r>
      <w:r>
        <w:rPr>
          <w:rFonts w:cs="Arial" w:ascii="Arial" w:hAnsi="Arial"/>
          <w:b/>
          <w:sz w:val="32"/>
          <w:szCs w:val="32"/>
          <w:lang w:val="kk-KZ"/>
        </w:rPr>
        <w:t xml:space="preserve">март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cs="Arial" w:ascii="Arial" w:hAnsi="Arial"/>
          <w:b/>
          <w:sz w:val="32"/>
          <w:szCs w:val="32"/>
          <w:lang w:val="kk-KZ"/>
        </w:rPr>
        <w:t>2</w:t>
      </w:r>
      <w:r>
        <w:rPr>
          <w:rFonts w:cs="Arial" w:ascii="Arial" w:hAnsi="Arial"/>
          <w:b/>
          <w:sz w:val="32"/>
          <w:szCs w:val="32"/>
        </w:rPr>
        <w:t xml:space="preserve">  года» </w:t>
      </w:r>
      <w:bookmarkEnd w:id="0"/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19"/>
        <w:ind w:left="0" w:righ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СЕЛЬСКОЕ  ХОЗЯЙСТВО.</w:t>
      </w:r>
    </w:p>
    <w:p>
      <w:pPr>
        <w:pStyle w:val="Style19"/>
        <w:rPr/>
      </w:pPr>
      <w:r>
        <w:rPr>
          <w:rFonts w:cs="Arial" w:ascii="Arial" w:hAnsi="Arial"/>
          <w:b/>
          <w:sz w:val="32"/>
          <w:szCs w:val="32"/>
          <w:u w:val="single"/>
          <w:lang w:val="ru-RU"/>
        </w:rPr>
        <w:t xml:space="preserve">По итогам 1 квартала </w:t>
      </w:r>
      <w:r>
        <w:rPr>
          <w:rFonts w:cs="Arial" w:ascii="Arial" w:hAnsi="Arial"/>
          <w:sz w:val="32"/>
          <w:szCs w:val="32"/>
          <w:lang w:val="ru-RU"/>
        </w:rPr>
        <w:t>2022 года в</w:t>
      </w:r>
      <w:r>
        <w:rPr>
          <w:rFonts w:cs="Arial" w:ascii="Arial" w:hAnsi="Arial"/>
          <w:sz w:val="32"/>
          <w:szCs w:val="32"/>
        </w:rPr>
        <w:t xml:space="preserve">аловой выпуск продукции сельского хозяйства  </w:t>
      </w:r>
      <w:r>
        <w:rPr>
          <w:rFonts w:cs="Arial" w:ascii="Arial" w:hAnsi="Arial"/>
          <w:sz w:val="32"/>
          <w:szCs w:val="32"/>
          <w:lang w:val="ru-RU"/>
        </w:rPr>
        <w:t xml:space="preserve">увеличен на </w:t>
      </w:r>
      <w:r>
        <w:rPr>
          <w:rFonts w:cs="Arial" w:ascii="Arial" w:hAnsi="Arial"/>
          <w:b/>
          <w:sz w:val="32"/>
          <w:szCs w:val="32"/>
          <w:lang w:val="ru-RU"/>
        </w:rPr>
        <w:t>101,9%</w:t>
      </w:r>
      <w:r>
        <w:rPr>
          <w:rFonts w:cs="Arial" w:ascii="Arial" w:hAnsi="Arial"/>
          <w:sz w:val="32"/>
          <w:szCs w:val="32"/>
          <w:lang w:val="ru-RU"/>
        </w:rPr>
        <w:t xml:space="preserve"> и составил                             </w:t>
      </w:r>
      <w:r>
        <w:rPr>
          <w:rFonts w:cs="Arial" w:ascii="Arial" w:hAnsi="Arial"/>
          <w:b/>
          <w:sz w:val="32"/>
          <w:szCs w:val="32"/>
          <w:lang w:val="ru-RU"/>
        </w:rPr>
        <w:t>2244,1</w:t>
      </w:r>
      <w:r>
        <w:rPr>
          <w:rFonts w:cs="Arial" w:ascii="Arial" w:hAnsi="Arial"/>
          <w:b/>
          <w:sz w:val="32"/>
          <w:szCs w:val="32"/>
        </w:rPr>
        <w:t xml:space="preserve"> млн.тенге</w:t>
      </w:r>
      <w:r>
        <w:rPr>
          <w:rFonts w:cs="Arial" w:ascii="Arial" w:hAnsi="Arial"/>
          <w:sz w:val="32"/>
          <w:szCs w:val="32"/>
        </w:rPr>
        <w:t xml:space="preserve">, </w:t>
      </w:r>
      <w:r>
        <w:rPr>
          <w:rFonts w:cs="Arial" w:ascii="Arial" w:hAnsi="Arial"/>
          <w:sz w:val="32"/>
          <w:szCs w:val="32"/>
          <w:lang w:val="ru-RU"/>
        </w:rPr>
        <w:t xml:space="preserve">с ростом на </w:t>
      </w:r>
      <w:r>
        <w:rPr>
          <w:rFonts w:cs="Arial" w:ascii="Arial" w:hAnsi="Arial"/>
          <w:b/>
          <w:sz w:val="32"/>
          <w:szCs w:val="32"/>
          <w:lang w:val="ru-RU"/>
        </w:rPr>
        <w:t>395,3 млн.тенге</w:t>
      </w:r>
      <w:r>
        <w:rPr>
          <w:rFonts w:cs="Arial" w:ascii="Arial" w:hAnsi="Arial"/>
          <w:sz w:val="32"/>
          <w:szCs w:val="32"/>
          <w:lang w:val="ru-RU"/>
        </w:rPr>
        <w:t xml:space="preserve"> к уровню 2021 года.</w:t>
      </w:r>
    </w:p>
    <w:p>
      <w:pPr>
        <w:pStyle w:val="Style19"/>
        <w:rPr/>
      </w:pPr>
      <w:r>
        <w:rPr>
          <w:rFonts w:cs="Arial" w:ascii="Arial" w:hAnsi="Arial"/>
          <w:i/>
          <w:sz w:val="24"/>
          <w:szCs w:val="24"/>
          <w:lang w:val="ru-RU"/>
        </w:rPr>
        <w:t>Справочно: (январь-март 2021г.-1848,8 млн.тенге, ИФО 104,3%).</w:t>
      </w:r>
    </w:p>
    <w:p>
      <w:pPr>
        <w:pStyle w:val="Style19"/>
        <w:rPr/>
      </w:pPr>
      <w:r>
        <w:rPr>
          <w:rFonts w:cs="Arial" w:ascii="Arial" w:hAnsi="Arial"/>
          <w:sz w:val="32"/>
          <w:szCs w:val="32"/>
          <w:lang w:val="ru-RU"/>
        </w:rPr>
        <w:t xml:space="preserve">Увеличено производство </w:t>
      </w:r>
      <w:r>
        <w:rPr>
          <w:rFonts w:cs="Arial" w:ascii="Arial" w:hAnsi="Arial"/>
          <w:sz w:val="32"/>
          <w:szCs w:val="32"/>
        </w:rPr>
        <w:t xml:space="preserve"> животноводческой продукции, в том числе: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-мяса скота и птицы в живом весе- на </w:t>
      </w:r>
      <w:r>
        <w:rPr>
          <w:rFonts w:cs="Arial" w:ascii="Arial" w:hAnsi="Arial"/>
          <w:sz w:val="32"/>
          <w:szCs w:val="32"/>
          <w:lang w:val="kk-KZ"/>
        </w:rPr>
        <w:t>100,1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1427,7</w:t>
      </w:r>
      <w:r>
        <w:rPr>
          <w:rFonts w:cs="Arial" w:ascii="Arial" w:hAnsi="Arial"/>
          <w:sz w:val="32"/>
          <w:szCs w:val="32"/>
        </w:rPr>
        <w:t xml:space="preserve"> тонн</w:t>
      </w:r>
      <w:r>
        <w:rPr>
          <w:rFonts w:cs="Arial" w:ascii="Arial" w:hAnsi="Arial"/>
          <w:i/>
          <w:sz w:val="24"/>
          <w:szCs w:val="24"/>
        </w:rPr>
        <w:t>),     справочно:(январь-</w:t>
      </w:r>
      <w:r>
        <w:rPr>
          <w:rFonts w:cs="Arial" w:ascii="Arial" w:hAnsi="Arial"/>
          <w:i/>
          <w:sz w:val="24"/>
          <w:szCs w:val="24"/>
          <w:lang w:val="kk-KZ"/>
        </w:rPr>
        <w:t>март</w:t>
      </w:r>
      <w:r>
        <w:rPr>
          <w:rFonts w:cs="Arial" w:ascii="Arial" w:hAnsi="Arial"/>
          <w:i/>
          <w:sz w:val="24"/>
          <w:szCs w:val="24"/>
        </w:rPr>
        <w:t xml:space="preserve"> 2021 года- </w:t>
      </w:r>
      <w:r>
        <w:rPr>
          <w:rFonts w:cs="Arial" w:ascii="Arial" w:hAnsi="Arial"/>
          <w:i/>
          <w:sz w:val="24"/>
          <w:szCs w:val="24"/>
          <w:lang w:val="kk-KZ"/>
        </w:rPr>
        <w:t>1426,7</w:t>
      </w:r>
      <w:r>
        <w:rPr>
          <w:rFonts w:cs="Arial" w:ascii="Arial" w:hAnsi="Arial"/>
          <w:i/>
          <w:sz w:val="24"/>
          <w:szCs w:val="24"/>
        </w:rPr>
        <w:t xml:space="preserve"> тонн ИФО </w:t>
      </w:r>
      <w:r>
        <w:rPr>
          <w:rFonts w:cs="Arial" w:ascii="Arial" w:hAnsi="Arial"/>
          <w:i/>
          <w:sz w:val="24"/>
          <w:szCs w:val="24"/>
          <w:lang w:val="kk-KZ"/>
        </w:rPr>
        <w:t>100,1</w:t>
      </w:r>
      <w:r>
        <w:rPr>
          <w:rFonts w:cs="Arial" w:ascii="Arial" w:hAnsi="Arial"/>
          <w:i/>
          <w:sz w:val="24"/>
          <w:szCs w:val="24"/>
        </w:rPr>
        <w:t>%)</w:t>
      </w:r>
      <w:r>
        <w:rPr>
          <w:rFonts w:cs="Arial" w:ascii="Arial" w:hAnsi="Arial"/>
          <w:i/>
          <w:sz w:val="24"/>
          <w:szCs w:val="24"/>
          <w:lang w:val="kk-KZ"/>
        </w:rPr>
        <w:t>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color w:val="FF0000"/>
          <w:sz w:val="32"/>
          <w:szCs w:val="32"/>
        </w:rPr>
        <w:t>-</w:t>
      </w:r>
      <w:r>
        <w:rPr>
          <w:rFonts w:cs="Arial" w:ascii="Arial" w:hAnsi="Arial"/>
          <w:sz w:val="32"/>
          <w:szCs w:val="32"/>
        </w:rPr>
        <w:t xml:space="preserve">молока–на </w:t>
      </w:r>
      <w:r>
        <w:rPr>
          <w:rFonts w:cs="Arial" w:ascii="Arial" w:hAnsi="Arial"/>
          <w:sz w:val="32"/>
          <w:szCs w:val="32"/>
          <w:lang w:val="kk-KZ"/>
        </w:rPr>
        <w:t>104,1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4787,5</w:t>
      </w:r>
      <w:r>
        <w:rPr>
          <w:rFonts w:cs="Arial" w:ascii="Arial" w:hAnsi="Arial"/>
          <w:sz w:val="32"/>
          <w:szCs w:val="32"/>
        </w:rPr>
        <w:t xml:space="preserve"> тонн),</w:t>
      </w:r>
      <w:r>
        <w:rPr>
          <w:rFonts w:cs="Arial" w:ascii="Arial" w:hAnsi="Arial"/>
          <w:color w:val="FF0000"/>
          <w:sz w:val="32"/>
          <w:szCs w:val="32"/>
        </w:rPr>
        <w:t xml:space="preserve"> </w:t>
      </w:r>
      <w:r>
        <w:rPr>
          <w:rFonts w:cs="Arial" w:ascii="Arial" w:hAnsi="Arial"/>
          <w:sz w:val="24"/>
          <w:szCs w:val="24"/>
        </w:rPr>
        <w:t>с</w:t>
      </w:r>
      <w:r>
        <w:rPr>
          <w:rFonts w:cs="Arial" w:ascii="Arial" w:hAnsi="Arial"/>
          <w:i/>
          <w:sz w:val="24"/>
          <w:szCs w:val="24"/>
        </w:rPr>
        <w:t>правочно:(январь-</w:t>
      </w:r>
      <w:r>
        <w:rPr>
          <w:rFonts w:cs="Arial" w:ascii="Arial" w:hAnsi="Arial"/>
          <w:i/>
          <w:sz w:val="24"/>
          <w:szCs w:val="24"/>
          <w:lang w:val="kk-KZ"/>
        </w:rPr>
        <w:t>март</w:t>
      </w:r>
      <w:r>
        <w:rPr>
          <w:rFonts w:cs="Arial" w:ascii="Arial" w:hAnsi="Arial"/>
          <w:i/>
          <w:sz w:val="24"/>
          <w:szCs w:val="24"/>
        </w:rPr>
        <w:t xml:space="preserve"> 2021г.-</w:t>
      </w:r>
      <w:r>
        <w:rPr>
          <w:rFonts w:cs="Arial" w:ascii="Arial" w:hAnsi="Arial"/>
          <w:i/>
          <w:sz w:val="24"/>
          <w:szCs w:val="24"/>
          <w:lang w:val="kk-KZ"/>
        </w:rPr>
        <w:t xml:space="preserve">4598,6 </w:t>
      </w:r>
      <w:r>
        <w:rPr>
          <w:rFonts w:cs="Arial" w:ascii="Arial" w:hAnsi="Arial"/>
          <w:i/>
          <w:sz w:val="24"/>
          <w:szCs w:val="24"/>
        </w:rPr>
        <w:t xml:space="preserve">тонны, ИФО </w:t>
      </w:r>
      <w:r>
        <w:rPr>
          <w:rFonts w:cs="Arial" w:ascii="Arial" w:hAnsi="Arial"/>
          <w:i/>
          <w:sz w:val="24"/>
          <w:szCs w:val="24"/>
          <w:lang w:val="kk-KZ"/>
        </w:rPr>
        <w:t>114,1</w:t>
      </w:r>
      <w:r>
        <w:rPr>
          <w:rFonts w:cs="Arial" w:ascii="Arial" w:hAnsi="Arial"/>
          <w:i/>
          <w:sz w:val="24"/>
          <w:szCs w:val="24"/>
        </w:rPr>
        <w:t>%),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32"/>
          <w:szCs w:val="32"/>
        </w:rPr>
        <w:t>-яиц–</w:t>
      </w:r>
      <w:r>
        <w:rPr>
          <w:rFonts w:cs="Arial" w:ascii="Arial" w:hAnsi="Arial"/>
          <w:sz w:val="32"/>
          <w:szCs w:val="32"/>
          <w:lang w:val="kk-KZ"/>
        </w:rPr>
        <w:t>100,2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1212,7</w:t>
      </w:r>
      <w:r>
        <w:rPr>
          <w:rFonts w:cs="Arial" w:ascii="Arial" w:hAnsi="Arial"/>
          <w:sz w:val="32"/>
          <w:szCs w:val="32"/>
        </w:rPr>
        <w:t xml:space="preserve"> тыс.штук),</w:t>
      </w:r>
      <w:r>
        <w:rPr>
          <w:rFonts w:cs="Arial" w:ascii="Arial" w:hAnsi="Arial"/>
          <w:color w:val="FF0000"/>
          <w:sz w:val="32"/>
          <w:szCs w:val="32"/>
        </w:rPr>
        <w:t xml:space="preserve"> </w:t>
      </w:r>
      <w:r>
        <w:rPr>
          <w:rFonts w:cs="Arial" w:ascii="Arial" w:hAnsi="Arial"/>
          <w:i/>
          <w:sz w:val="24"/>
          <w:szCs w:val="24"/>
        </w:rPr>
        <w:t>справочно:(январь-</w:t>
      </w:r>
      <w:r>
        <w:rPr>
          <w:rFonts w:cs="Arial" w:ascii="Arial" w:hAnsi="Arial"/>
          <w:i/>
          <w:sz w:val="24"/>
          <w:szCs w:val="24"/>
          <w:lang w:val="kk-KZ"/>
        </w:rPr>
        <w:t>март</w:t>
      </w:r>
      <w:r>
        <w:rPr>
          <w:rFonts w:cs="Arial" w:ascii="Arial" w:hAnsi="Arial"/>
          <w:i/>
          <w:sz w:val="24"/>
          <w:szCs w:val="24"/>
        </w:rPr>
        <w:t xml:space="preserve"> 2021</w:t>
      </w:r>
      <w:r>
        <w:rPr>
          <w:rFonts w:cs="Arial" w:ascii="Arial" w:hAnsi="Arial"/>
          <w:sz w:val="24"/>
          <w:szCs w:val="24"/>
        </w:rPr>
        <w:t>г. -</w:t>
      </w:r>
      <w:r>
        <w:rPr>
          <w:rFonts w:cs="Arial" w:ascii="Arial" w:hAnsi="Arial"/>
          <w:sz w:val="24"/>
          <w:szCs w:val="24"/>
          <w:lang w:val="kk-KZ"/>
        </w:rPr>
        <w:t>1210,1</w:t>
      </w:r>
      <w:r>
        <w:rPr>
          <w:rFonts w:cs="Arial" w:ascii="Arial" w:hAnsi="Arial"/>
          <w:sz w:val="24"/>
          <w:szCs w:val="24"/>
        </w:rPr>
        <w:t xml:space="preserve"> тыс.штук, ИФО 104,1%).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</w:rPr>
        <w:t xml:space="preserve">Увеличена численность крупного рогатого скота на </w:t>
      </w:r>
      <w:r>
        <w:rPr>
          <w:rFonts w:cs="Arial" w:ascii="Arial" w:hAnsi="Arial"/>
          <w:sz w:val="32"/>
          <w:szCs w:val="32"/>
          <w:lang w:val="kk-KZ"/>
        </w:rPr>
        <w:t>100,1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28,2</w:t>
      </w:r>
      <w:r>
        <w:rPr>
          <w:rFonts w:cs="Arial" w:ascii="Arial" w:hAnsi="Arial"/>
          <w:sz w:val="32"/>
          <w:szCs w:val="32"/>
        </w:rPr>
        <w:t xml:space="preserve"> тыс.голов),  в том числе коров на </w:t>
      </w:r>
      <w:r>
        <w:rPr>
          <w:rFonts w:cs="Arial" w:ascii="Arial" w:hAnsi="Arial"/>
          <w:sz w:val="32"/>
          <w:szCs w:val="32"/>
          <w:lang w:val="kk-KZ"/>
        </w:rPr>
        <w:t>102</w:t>
      </w:r>
      <w:r>
        <w:rPr>
          <w:rFonts w:cs="Arial" w:ascii="Arial" w:hAnsi="Arial"/>
          <w:sz w:val="32"/>
          <w:szCs w:val="32"/>
        </w:rPr>
        <w:t>% (</w:t>
      </w:r>
      <w:r>
        <w:rPr>
          <w:rFonts w:cs="Arial" w:ascii="Arial" w:hAnsi="Arial"/>
          <w:sz w:val="32"/>
          <w:szCs w:val="32"/>
          <w:lang w:val="kk-KZ"/>
        </w:rPr>
        <w:t>12,1</w:t>
      </w:r>
      <w:r>
        <w:rPr>
          <w:rFonts w:cs="Arial" w:ascii="Arial" w:hAnsi="Arial"/>
          <w:sz w:val="32"/>
          <w:szCs w:val="32"/>
        </w:rPr>
        <w:t xml:space="preserve"> тыс.голов), лошадей на </w:t>
      </w:r>
      <w:r>
        <w:rPr>
          <w:rFonts w:cs="Arial" w:ascii="Arial" w:hAnsi="Arial"/>
          <w:sz w:val="32"/>
          <w:szCs w:val="32"/>
          <w:lang w:val="kk-KZ"/>
        </w:rPr>
        <w:t>102,9</w:t>
      </w:r>
      <w:r>
        <w:rPr>
          <w:rFonts w:cs="Arial" w:ascii="Arial" w:hAnsi="Arial"/>
          <w:sz w:val="32"/>
          <w:szCs w:val="32"/>
        </w:rPr>
        <w:t>% (7,</w:t>
      </w:r>
      <w:r>
        <w:rPr>
          <w:rFonts w:cs="Arial" w:ascii="Arial" w:hAnsi="Arial"/>
          <w:sz w:val="32"/>
          <w:szCs w:val="32"/>
          <w:lang w:val="kk-KZ"/>
        </w:rPr>
        <w:t>4</w:t>
      </w:r>
      <w:r>
        <w:rPr>
          <w:rFonts w:cs="Arial" w:ascii="Arial" w:hAnsi="Arial"/>
          <w:sz w:val="32"/>
          <w:szCs w:val="32"/>
        </w:rPr>
        <w:t xml:space="preserve"> тыс.голов), птиц на </w:t>
      </w:r>
      <w:r>
        <w:rPr>
          <w:rFonts w:cs="Arial" w:ascii="Arial" w:hAnsi="Arial"/>
          <w:sz w:val="32"/>
          <w:szCs w:val="32"/>
          <w:lang w:val="kk-KZ"/>
        </w:rPr>
        <w:t>101,2</w:t>
      </w:r>
      <w:r>
        <w:rPr>
          <w:rFonts w:cs="Arial" w:ascii="Arial" w:hAnsi="Arial"/>
          <w:sz w:val="32"/>
          <w:szCs w:val="32"/>
        </w:rPr>
        <w:t>%                             (</w:t>
      </w:r>
      <w:r>
        <w:rPr>
          <w:rFonts w:cs="Arial" w:ascii="Arial" w:hAnsi="Arial"/>
          <w:sz w:val="32"/>
          <w:szCs w:val="32"/>
          <w:lang w:val="kk-KZ"/>
        </w:rPr>
        <w:t>140,1</w:t>
      </w:r>
      <w:r>
        <w:rPr>
          <w:rFonts w:cs="Arial" w:ascii="Arial" w:hAnsi="Arial"/>
          <w:sz w:val="32"/>
          <w:szCs w:val="32"/>
        </w:rPr>
        <w:t xml:space="preserve"> тыс.голов)</w:t>
      </w:r>
      <w:r>
        <w:rPr>
          <w:rFonts w:cs="Arial" w:ascii="Arial" w:hAnsi="Arial"/>
          <w:sz w:val="32"/>
          <w:szCs w:val="32"/>
          <w:lang w:val="kk-KZ"/>
        </w:rPr>
        <w:t xml:space="preserve">, </w:t>
      </w:r>
      <w:r>
        <w:rPr>
          <w:rFonts w:cs="Arial" w:ascii="Arial" w:hAnsi="Arial"/>
          <w:sz w:val="32"/>
          <w:szCs w:val="32"/>
        </w:rPr>
        <w:t xml:space="preserve">овец </w:t>
      </w:r>
      <w:r>
        <w:rPr>
          <w:rFonts w:cs="Arial" w:ascii="Arial" w:hAnsi="Arial"/>
          <w:sz w:val="32"/>
          <w:szCs w:val="32"/>
          <w:lang w:val="kk-KZ"/>
        </w:rPr>
        <w:t>на 102,6</w:t>
      </w:r>
      <w:r>
        <w:rPr>
          <w:rFonts w:cs="Arial" w:ascii="Arial" w:hAnsi="Arial"/>
          <w:sz w:val="32"/>
          <w:szCs w:val="32"/>
        </w:rPr>
        <w:t>%</w:t>
      </w:r>
      <w:r>
        <w:rPr>
          <w:rFonts w:cs="Arial" w:ascii="Arial" w:hAnsi="Arial"/>
          <w:sz w:val="32"/>
          <w:szCs w:val="32"/>
          <w:lang w:val="kk-KZ"/>
        </w:rPr>
        <w:t xml:space="preserve"> (25,0 тыс.голов)</w:t>
      </w:r>
      <w:r>
        <w:rPr>
          <w:rFonts w:cs="Arial" w:ascii="Arial" w:hAnsi="Arial"/>
          <w:sz w:val="32"/>
          <w:szCs w:val="32"/>
        </w:rPr>
        <w:t>.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Снижено </w:t>
      </w:r>
      <w:r>
        <w:rPr>
          <w:rFonts w:cs="Arial" w:ascii="Arial" w:hAnsi="Arial"/>
          <w:sz w:val="32"/>
          <w:szCs w:val="32"/>
        </w:rPr>
        <w:t xml:space="preserve">поголовье свиней </w:t>
      </w:r>
      <w:r>
        <w:rPr>
          <w:rFonts w:cs="Arial" w:ascii="Arial" w:hAnsi="Arial"/>
          <w:sz w:val="32"/>
          <w:szCs w:val="32"/>
          <w:lang w:val="kk-KZ"/>
        </w:rPr>
        <w:t xml:space="preserve">на 1,2% и </w:t>
      </w:r>
      <w:r>
        <w:rPr>
          <w:rFonts w:cs="Arial" w:ascii="Arial" w:hAnsi="Arial"/>
          <w:sz w:val="32"/>
          <w:szCs w:val="32"/>
        </w:rPr>
        <w:t>оставило</w:t>
      </w:r>
      <w:r>
        <w:rPr>
          <w:rFonts w:cs="Arial" w:ascii="Arial" w:hAnsi="Arial"/>
          <w:sz w:val="32"/>
          <w:szCs w:val="32"/>
          <w:lang w:val="kk-KZ"/>
        </w:rPr>
        <w:t xml:space="preserve">  </w:t>
      </w:r>
      <w:r>
        <w:rPr>
          <w:rFonts w:cs="Arial" w:ascii="Arial" w:hAnsi="Arial"/>
          <w:sz w:val="32"/>
          <w:szCs w:val="32"/>
        </w:rPr>
        <w:t xml:space="preserve">9,7 тыс.глов или </w:t>
      </w:r>
      <w:r>
        <w:rPr>
          <w:rFonts w:cs="Arial" w:ascii="Arial" w:hAnsi="Arial"/>
          <w:sz w:val="32"/>
          <w:szCs w:val="32"/>
          <w:lang w:val="kk-KZ"/>
        </w:rPr>
        <w:t>98,8</w:t>
      </w:r>
      <w:r>
        <w:rPr>
          <w:rFonts w:cs="Arial" w:ascii="Arial" w:hAnsi="Arial"/>
          <w:sz w:val="32"/>
          <w:szCs w:val="32"/>
        </w:rPr>
        <w:t>% к уровню 2021 года.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FF0000"/>
          <w:sz w:val="32"/>
          <w:szCs w:val="32"/>
        </w:rPr>
        <w:t xml:space="preserve">     </w:t>
      </w:r>
      <w:r>
        <w:rPr>
          <w:rFonts w:cs="Arial" w:ascii="Arial" w:hAnsi="Arial"/>
          <w:color w:val="FF0000"/>
          <w:sz w:val="32"/>
          <w:szCs w:val="32"/>
        </w:rPr>
        <w:tab/>
        <w:tab/>
        <w:tab/>
        <w:tab/>
        <w:tab/>
      </w:r>
      <w:r>
        <w:rPr>
          <w:rFonts w:cs="Arial" w:ascii="Arial" w:hAnsi="Arial"/>
          <w:b/>
          <w:sz w:val="32"/>
          <w:szCs w:val="32"/>
        </w:rPr>
        <w:t>ПРОМЫШЛЕННОСТЬ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 w:cs="Arial" w:ascii="Arial" w:hAnsi="Arial"/>
          <w:sz w:val="32"/>
          <w:szCs w:val="32"/>
          <w:lang w:eastAsia="en-US"/>
        </w:rPr>
        <w:t xml:space="preserve">Промышленным сектором района обеспечен выпуск продукции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1088,4 млн.тенге</w:t>
      </w:r>
      <w:r>
        <w:rPr>
          <w:rFonts w:eastAsia="Calibri" w:cs="Arial" w:ascii="Arial" w:hAnsi="Arial"/>
          <w:sz w:val="32"/>
          <w:szCs w:val="32"/>
          <w:lang w:eastAsia="en-US"/>
        </w:rPr>
        <w:t>,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 ИФО 111,4%</w:t>
      </w:r>
      <w:r>
        <w:rPr>
          <w:rFonts w:eastAsia="Calibri" w:cs="Arial" w:ascii="Arial" w:hAnsi="Arial"/>
          <w:color w:val="FF0000"/>
          <w:sz w:val="32"/>
          <w:szCs w:val="32"/>
          <w:lang w:eastAsia="en-US"/>
        </w:rPr>
        <w:t>.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 w:cs="Arial" w:ascii="Arial" w:hAnsi="Arial"/>
          <w:i/>
          <w:sz w:val="28"/>
          <w:szCs w:val="28"/>
          <w:lang w:eastAsia="en-US"/>
        </w:rPr>
        <w:t>Справочно:(январь-март 2021г.-</w:t>
      </w:r>
      <w:r>
        <w:rPr>
          <w:rFonts w:eastAsia="Calibri" w:cs="Arial" w:ascii="Arial" w:hAnsi="Arial"/>
          <w:i/>
          <w:sz w:val="28"/>
          <w:szCs w:val="28"/>
          <w:lang w:val="kk-KZ" w:eastAsia="en-US"/>
        </w:rPr>
        <w:t>2205,5</w:t>
      </w:r>
      <w:r>
        <w:rPr>
          <w:rFonts w:eastAsia="Calibri" w:cs="Arial" w:ascii="Arial" w:hAnsi="Arial"/>
          <w:i/>
          <w:sz w:val="28"/>
          <w:szCs w:val="28"/>
          <w:lang w:eastAsia="en-US"/>
        </w:rPr>
        <w:t xml:space="preserve"> млн.тенге, ИФО 310%)</w:t>
      </w:r>
      <w:r>
        <w:rPr>
          <w:rFonts w:eastAsia="Calibri" w:cs="Arial" w:ascii="Arial" w:hAnsi="Arial"/>
          <w:i/>
          <w:sz w:val="32"/>
          <w:szCs w:val="32"/>
          <w:lang w:eastAsia="en-US"/>
        </w:rPr>
        <w:t xml:space="preserve">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В отрасли горнодобывающей промышленности объемы увеличены на 109,3% и составили </w:t>
      </w:r>
      <w:r>
        <w:rPr>
          <w:rFonts w:cs="Arial" w:ascii="Arial" w:hAnsi="Arial"/>
          <w:b/>
          <w:sz w:val="32"/>
          <w:szCs w:val="32"/>
        </w:rPr>
        <w:t>239,5 млн.тенге</w:t>
      </w:r>
      <w:r>
        <w:rPr>
          <w:rFonts w:cs="Arial" w:ascii="Arial" w:hAnsi="Arial"/>
          <w:sz w:val="32"/>
          <w:szCs w:val="32"/>
        </w:rPr>
        <w:t xml:space="preserve">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i/>
          <w:sz w:val="24"/>
          <w:szCs w:val="24"/>
        </w:rPr>
        <w:t>Справочно:</w:t>
      </w:r>
      <w:r>
        <w:rPr>
          <w:rFonts w:cs="Arial" w:ascii="Arial" w:hAnsi="Arial"/>
          <w:sz w:val="32"/>
          <w:szCs w:val="32"/>
        </w:rPr>
        <w:t xml:space="preserve"> (</w:t>
      </w:r>
      <w:r>
        <w:rPr>
          <w:rFonts w:cs="Arial" w:ascii="Arial" w:hAnsi="Arial"/>
          <w:i/>
          <w:sz w:val="24"/>
          <w:szCs w:val="24"/>
        </w:rPr>
        <w:t>январь-март 2021 год -653,7 млн. тенге, рост ИФО 6,3 раза).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Основная доля или </w:t>
      </w:r>
      <w:r>
        <w:rPr>
          <w:rFonts w:cs="Arial" w:ascii="Arial" w:hAnsi="Arial"/>
          <w:sz w:val="32"/>
          <w:szCs w:val="32"/>
          <w:lang w:val="kk-KZ"/>
        </w:rPr>
        <w:t>56,7</w:t>
      </w:r>
      <w:r>
        <w:rPr>
          <w:rFonts w:cs="Arial" w:ascii="Arial" w:hAnsi="Arial"/>
          <w:sz w:val="32"/>
          <w:szCs w:val="32"/>
        </w:rPr>
        <w:t xml:space="preserve">% приходится на обрабатывающую промышленность, где объемы производства составили                        </w:t>
      </w:r>
      <w:r>
        <w:rPr>
          <w:rFonts w:cs="Arial" w:ascii="Arial" w:hAnsi="Arial"/>
          <w:b/>
          <w:sz w:val="32"/>
          <w:szCs w:val="32"/>
          <w:lang w:val="kk-KZ"/>
        </w:rPr>
        <w:t>617,2</w:t>
      </w:r>
      <w:r>
        <w:rPr>
          <w:rFonts w:cs="Arial" w:ascii="Arial" w:hAnsi="Arial"/>
          <w:b/>
          <w:sz w:val="32"/>
          <w:szCs w:val="32"/>
        </w:rPr>
        <w:t xml:space="preserve"> млн.тенге</w:t>
      </w:r>
      <w:r>
        <w:rPr>
          <w:rFonts w:cs="Arial" w:ascii="Arial" w:hAnsi="Arial"/>
          <w:sz w:val="32"/>
          <w:szCs w:val="32"/>
        </w:rPr>
        <w:t xml:space="preserve">. 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24"/>
          <w:szCs w:val="24"/>
        </w:rPr>
        <w:t>Справочно:(январь-март 2021 год -1376,1 млн. тенге, ИФО 280% ).</w:t>
      </w:r>
    </w:p>
    <w:p>
      <w:pPr>
        <w:pStyle w:val="Normal"/>
        <w:suppressAutoHyphens w:val="false"/>
        <w:ind w:firstLine="708"/>
        <w:jc w:val="both"/>
        <w:rPr>
          <w:rFonts w:ascii="Arial" w:hAnsi="Arial" w:eastAsia="Calibri" w:cs="Arial"/>
          <w:sz w:val="32"/>
          <w:szCs w:val="32"/>
          <w:lang w:eastAsia="en-US"/>
        </w:rPr>
      </w:pPr>
      <w:r>
        <w:rPr>
          <w:rFonts w:eastAsia="Calibri" w:cs="Arial" w:ascii="Arial" w:hAnsi="Arial"/>
          <w:sz w:val="32"/>
          <w:szCs w:val="32"/>
          <w:lang w:eastAsia="en-US"/>
        </w:rPr>
        <w:t xml:space="preserve">Производство продуктов питания увеличено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131,2%,</w:t>
      </w:r>
      <w:r>
        <w:rPr>
          <w:rFonts w:eastAsia="Calibri" w:cs="Arial" w:ascii="Arial" w:hAnsi="Arial"/>
          <w:sz w:val="32"/>
          <w:szCs w:val="32"/>
          <w:lang w:eastAsia="en-US"/>
        </w:rPr>
        <w:t xml:space="preserve"> услуги в области машиностроения увеличены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166,9%.</w:t>
      </w:r>
    </w:p>
    <w:p>
      <w:pPr>
        <w:pStyle w:val="Normal"/>
        <w:suppressAutoHyphens w:val="false"/>
        <w:ind w:firstLine="708"/>
        <w:jc w:val="both"/>
        <w:rPr>
          <w:rFonts w:ascii="Arial" w:hAnsi="Arial" w:eastAsia="Calibri" w:cs="Arial"/>
          <w:sz w:val="28"/>
          <w:szCs w:val="28"/>
          <w:lang w:eastAsia="en-US"/>
        </w:rPr>
      </w:pPr>
      <w:r>
        <w:rPr>
          <w:rFonts w:eastAsia="Calibri" w:cs="Arial" w:ascii="Arial" w:hAnsi="Arial"/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СТРОИТЕЛЬСТВО</w:t>
      </w:r>
    </w:p>
    <w:p>
      <w:pPr>
        <w:pStyle w:val="Normal"/>
        <w:ind w:firstLine="720"/>
        <w:jc w:val="both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 xml:space="preserve">В отрасли строительства  в январе-марте текущего года объем строительных работ  составил </w:t>
      </w:r>
      <w:r>
        <w:rPr>
          <w:rFonts w:cs="Arial" w:ascii="Arial" w:hAnsi="Arial"/>
          <w:b/>
          <w:bCs/>
          <w:sz w:val="32"/>
          <w:szCs w:val="32"/>
        </w:rPr>
        <w:t>16,7 млн.тенге или 92,8%</w:t>
      </w:r>
      <w:r>
        <w:rPr>
          <w:rFonts w:cs="Arial" w:ascii="Arial" w:hAnsi="Arial"/>
          <w:bCs/>
          <w:sz w:val="32"/>
          <w:szCs w:val="32"/>
        </w:rPr>
        <w:t xml:space="preserve"> к уровню 2021 года.</w:t>
      </w:r>
    </w:p>
    <w:p>
      <w:pPr>
        <w:pStyle w:val="Normal"/>
        <w:ind w:firstLine="72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  <w:t>Справочно:(Январь-март 2021 года 17,2 млн.тенге ИФО 150%).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32"/>
          <w:szCs w:val="32"/>
          <w:lang w:val="kk-KZ"/>
        </w:rPr>
      </w:pPr>
      <w:r>
        <w:rPr>
          <w:rFonts w:cs="Arial" w:ascii="Arial" w:hAnsi="Arial"/>
          <w:b/>
          <w:bCs/>
          <w:sz w:val="32"/>
          <w:szCs w:val="32"/>
          <w:lang w:val="kk-KZ"/>
        </w:rPr>
        <w:t>ВВОД ЖИЛЬЯ</w:t>
      </w:r>
    </w:p>
    <w:p>
      <w:pPr>
        <w:pStyle w:val="Normal"/>
        <w:ind w:firstLine="720"/>
        <w:jc w:val="both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 xml:space="preserve">В январе-марте текущего года введено в эксплуатацию 362 кв.метров жилья, рост к уровню аналогичного периода 2021 года составил 106,5%. </w:t>
      </w:r>
    </w:p>
    <w:p>
      <w:pPr>
        <w:pStyle w:val="Normal"/>
        <w:rPr>
          <w:rFonts w:ascii="Arial" w:hAnsi="Arial" w:cs="Arial"/>
          <w:bCs/>
          <w:i/>
          <w:i/>
          <w:color w:val="FF0000"/>
          <w:sz w:val="24"/>
          <w:szCs w:val="24"/>
        </w:rPr>
      </w:pPr>
      <w:r>
        <w:rPr>
          <w:rFonts w:eastAsia="Arial" w:cs="Arial" w:ascii="Arial" w:hAnsi="Arial"/>
          <w:bCs/>
          <w:i/>
          <w:sz w:val="24"/>
          <w:szCs w:val="24"/>
        </w:rPr>
        <w:t xml:space="preserve">          </w:t>
      </w:r>
      <w:r>
        <w:rPr>
          <w:rFonts w:cs="Arial" w:ascii="Arial" w:hAnsi="Arial"/>
          <w:bCs/>
          <w:i/>
          <w:sz w:val="24"/>
          <w:szCs w:val="24"/>
        </w:rPr>
        <w:t>Справочно:(Январь-март 2021 года 340 кв.метров,</w:t>
      </w:r>
      <w:r>
        <w:rPr>
          <w:rFonts w:cs="Arial" w:ascii="Arial" w:hAnsi="Arial"/>
          <w:bCs/>
          <w:i/>
          <w:color w:val="FF0000"/>
          <w:sz w:val="24"/>
          <w:szCs w:val="24"/>
        </w:rPr>
        <w:t xml:space="preserve"> </w:t>
      </w:r>
      <w:r>
        <w:rPr>
          <w:rFonts w:cs="Arial" w:ascii="Arial" w:hAnsi="Arial"/>
          <w:bCs/>
          <w:i/>
          <w:sz w:val="24"/>
          <w:szCs w:val="24"/>
        </w:rPr>
        <w:t>ИФО 101,2%).</w:t>
      </w:r>
      <w:r>
        <w:rPr>
          <w:rFonts w:cs="Arial" w:ascii="Arial" w:hAnsi="Arial"/>
          <w:bCs/>
          <w:i/>
          <w:color w:val="FF0000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bCs/>
          <w:i/>
          <w:i/>
          <w:color w:val="FF0000"/>
          <w:sz w:val="24"/>
          <w:szCs w:val="24"/>
        </w:rPr>
      </w:pPr>
      <w:r>
        <w:rPr>
          <w:rFonts w:cs="Arial" w:ascii="Arial" w:hAnsi="Arial"/>
          <w:bCs/>
          <w:i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ИНВЕСТИЦИИ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  <w:bCs/>
          <w:sz w:val="32"/>
          <w:szCs w:val="32"/>
        </w:rPr>
        <w:t xml:space="preserve">  </w:t>
      </w:r>
      <w:r>
        <w:rPr>
          <w:rFonts w:cs="Arial" w:ascii="Arial" w:hAnsi="Arial"/>
          <w:b/>
          <w:bCs/>
          <w:sz w:val="32"/>
          <w:szCs w:val="32"/>
          <w:u w:val="single"/>
        </w:rPr>
        <w:t>По итогам января-марта</w:t>
      </w:r>
      <w:r>
        <w:rPr>
          <w:rFonts w:cs="Arial" w:ascii="Arial" w:hAnsi="Arial"/>
          <w:bCs/>
          <w:sz w:val="32"/>
          <w:szCs w:val="32"/>
        </w:rPr>
        <w:t xml:space="preserve"> 2021 года общий объем потока инвестиций в </w:t>
      </w:r>
      <w:r>
        <w:rPr>
          <w:rFonts w:cs="Arial" w:ascii="Arial" w:hAnsi="Arial"/>
          <w:sz w:val="32"/>
          <w:szCs w:val="32"/>
        </w:rPr>
        <w:t xml:space="preserve">основной капитал составил </w:t>
      </w:r>
      <w:r>
        <w:rPr>
          <w:rFonts w:cs="Arial" w:ascii="Arial" w:hAnsi="Arial"/>
          <w:b/>
          <w:sz w:val="32"/>
          <w:szCs w:val="32"/>
        </w:rPr>
        <w:t>1243,2 млн.тенге, ИФО</w:t>
      </w: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67,4%</w:t>
      </w:r>
      <w:r>
        <w:rPr>
          <w:rFonts w:cs="Arial" w:ascii="Arial" w:hAnsi="Arial"/>
          <w:sz w:val="32"/>
          <w:szCs w:val="32"/>
        </w:rPr>
        <w:t xml:space="preserve"> к уровню аналогичного периода 2021 года, снижение на </w:t>
      </w:r>
      <w:r>
        <w:rPr>
          <w:rFonts w:cs="Arial" w:ascii="Arial" w:hAnsi="Arial"/>
          <w:b/>
          <w:sz w:val="32"/>
          <w:szCs w:val="32"/>
        </w:rPr>
        <w:t>465,9 млн.тенге</w:t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Справочно:(Январь-март 2021г.-1709,1 млн.тенге, ИФО 160%).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По источникам финансирования </w:t>
      </w:r>
      <w:r>
        <w:rPr>
          <w:rFonts w:cs="Arial" w:ascii="Arial" w:hAnsi="Arial"/>
          <w:b/>
          <w:sz w:val="32"/>
          <w:szCs w:val="32"/>
        </w:rPr>
        <w:t>весь объем 1243,2 млн.тенге</w:t>
      </w:r>
      <w:r>
        <w:rPr>
          <w:rFonts w:cs="Arial" w:ascii="Arial" w:hAnsi="Arial"/>
          <w:sz w:val="32"/>
          <w:szCs w:val="32"/>
        </w:rPr>
        <w:t xml:space="preserve"> приходится на </w:t>
      </w:r>
      <w:r>
        <w:rPr>
          <w:rFonts w:cs="Arial" w:ascii="Arial" w:hAnsi="Arial"/>
          <w:b/>
          <w:sz w:val="32"/>
          <w:szCs w:val="32"/>
        </w:rPr>
        <w:t xml:space="preserve">частные  инвестиции ИФО 67,4%.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Справочно:(Январь-март 2021г.-1709,1 млн.тенге, ИФО 156,8%).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ab/>
      </w:r>
    </w:p>
    <w:p>
      <w:pPr>
        <w:pStyle w:val="Style19"/>
        <w:ind w:left="0" w:right="0" w:firstLine="567"/>
        <w:jc w:val="center"/>
        <w:rPr/>
      </w:pPr>
      <w:r>
        <w:rPr>
          <w:rFonts w:cs="Arial" w:ascii="Arial" w:hAnsi="Arial"/>
          <w:b/>
          <w:bCs/>
          <w:sz w:val="32"/>
          <w:szCs w:val="32"/>
          <w:lang w:val="ru-RU"/>
        </w:rPr>
        <w:t xml:space="preserve">РОЗНИЧНАЯ  </w:t>
      </w:r>
      <w:r>
        <w:rPr>
          <w:rFonts w:cs="Arial" w:ascii="Arial" w:hAnsi="Arial"/>
          <w:b/>
          <w:bCs/>
          <w:sz w:val="32"/>
          <w:szCs w:val="32"/>
        </w:rPr>
        <w:t>ТОРГОВЛЯ</w:t>
      </w:r>
    </w:p>
    <w:p>
      <w:pPr>
        <w:pStyle w:val="Style19"/>
        <w:rPr/>
      </w:pPr>
      <w:r>
        <w:rPr>
          <w:rFonts w:cs="Arial" w:ascii="Arial" w:hAnsi="Arial"/>
          <w:bCs/>
          <w:sz w:val="32"/>
          <w:szCs w:val="32"/>
          <w:lang w:val="ru-RU"/>
        </w:rPr>
        <w:t>Ч</w:t>
      </w:r>
      <w:r>
        <w:rPr>
          <w:rFonts w:cs="Arial" w:ascii="Arial" w:hAnsi="Arial"/>
          <w:bCs/>
          <w:sz w:val="32"/>
          <w:szCs w:val="32"/>
        </w:rPr>
        <w:t>ерез сеть розничной торговли реализовано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</w:rPr>
        <w:t>товаров на общую сумму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636,1</w:t>
      </w:r>
      <w:r>
        <w:rPr>
          <w:rFonts w:cs="Arial" w:ascii="Arial" w:hAnsi="Arial"/>
          <w:b/>
          <w:bCs/>
          <w:sz w:val="32"/>
          <w:szCs w:val="32"/>
        </w:rPr>
        <w:t xml:space="preserve"> млн.тенг</w:t>
      </w:r>
      <w:r>
        <w:rPr>
          <w:rFonts w:cs="Arial" w:ascii="Arial" w:hAnsi="Arial"/>
          <w:b/>
          <w:bCs/>
          <w:sz w:val="32"/>
          <w:szCs w:val="32"/>
          <w:lang w:val="ru-RU"/>
        </w:rPr>
        <w:t>е</w:t>
      </w:r>
      <w:r>
        <w:rPr>
          <w:rFonts w:cs="Arial" w:ascii="Arial" w:hAnsi="Arial"/>
          <w:b/>
          <w:bCs/>
          <w:sz w:val="32"/>
          <w:szCs w:val="32"/>
        </w:rPr>
        <w:t>,</w:t>
      </w:r>
      <w:r>
        <w:rPr>
          <w:rFonts w:cs="Arial" w:ascii="Arial" w:hAnsi="Arial"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  <w:lang w:val="ru-RU"/>
        </w:rPr>
        <w:t>индекс физического объема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100,2</w:t>
      </w:r>
      <w:r>
        <w:rPr>
          <w:rFonts w:cs="Arial" w:ascii="Arial" w:hAnsi="Arial"/>
          <w:b/>
          <w:bCs/>
          <w:sz w:val="32"/>
          <w:szCs w:val="32"/>
        </w:rPr>
        <w:t>%</w:t>
      </w:r>
      <w:r>
        <w:rPr>
          <w:rFonts w:cs="Arial" w:ascii="Arial" w:hAnsi="Arial"/>
          <w:b/>
          <w:bCs/>
          <w:sz w:val="32"/>
          <w:szCs w:val="32"/>
          <w:lang w:val="ru-RU"/>
        </w:rPr>
        <w:t xml:space="preserve">, рост на 64,7 млн.тенге. </w:t>
      </w:r>
    </w:p>
    <w:p>
      <w:pPr>
        <w:pStyle w:val="Style19"/>
        <w:rPr/>
      </w:pPr>
      <w:r>
        <w:rPr>
          <w:rFonts w:cs="Arial" w:ascii="Arial" w:hAnsi="Arial"/>
          <w:sz w:val="24"/>
          <w:szCs w:val="24"/>
          <w:lang w:val="ru-RU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>(</w:t>
      </w:r>
      <w:r>
        <w:rPr>
          <w:rFonts w:cs="Arial" w:ascii="Arial" w:hAnsi="Arial"/>
          <w:i/>
          <w:sz w:val="24"/>
          <w:szCs w:val="24"/>
          <w:lang w:val="ru-RU"/>
        </w:rPr>
        <w:t>Я</w:t>
      </w:r>
      <w:r>
        <w:rPr>
          <w:rFonts w:cs="Arial" w:ascii="Arial" w:hAnsi="Arial"/>
          <w:b/>
          <w:i/>
          <w:sz w:val="24"/>
          <w:szCs w:val="24"/>
        </w:rPr>
        <w:t>нварь</w:t>
      </w:r>
      <w:r>
        <w:rPr>
          <w:rFonts w:cs="Arial" w:ascii="Arial" w:hAnsi="Arial"/>
          <w:b/>
          <w:i/>
          <w:sz w:val="24"/>
          <w:szCs w:val="24"/>
          <w:lang w:val="ru-RU"/>
        </w:rPr>
        <w:t>-март</w:t>
      </w:r>
      <w:r>
        <w:rPr>
          <w:rFonts w:cs="Arial" w:ascii="Arial" w:hAnsi="Arial"/>
          <w:b/>
          <w:i/>
          <w:sz w:val="24"/>
          <w:szCs w:val="24"/>
        </w:rPr>
        <w:t xml:space="preserve"> 20</w:t>
      </w:r>
      <w:r>
        <w:rPr>
          <w:rFonts w:cs="Arial" w:ascii="Arial" w:hAnsi="Arial"/>
          <w:b/>
          <w:i/>
          <w:sz w:val="24"/>
          <w:szCs w:val="24"/>
          <w:lang w:val="ru-RU"/>
        </w:rPr>
        <w:t>21</w:t>
      </w:r>
      <w:r>
        <w:rPr>
          <w:rFonts w:cs="Arial" w:ascii="Arial" w:hAnsi="Arial"/>
          <w:b/>
          <w:i/>
          <w:sz w:val="24"/>
          <w:szCs w:val="24"/>
        </w:rPr>
        <w:t>г.-</w:t>
      </w:r>
      <w:r>
        <w:rPr>
          <w:rFonts w:cs="Arial" w:ascii="Arial" w:hAnsi="Arial"/>
          <w:b/>
          <w:i/>
          <w:sz w:val="24"/>
          <w:szCs w:val="24"/>
          <w:lang w:val="ru-RU"/>
        </w:rPr>
        <w:t>571,4</w:t>
      </w:r>
      <w:r>
        <w:rPr>
          <w:rFonts w:cs="Arial" w:ascii="Arial" w:hAnsi="Arial"/>
          <w:b/>
          <w:i/>
          <w:sz w:val="24"/>
          <w:szCs w:val="24"/>
        </w:rPr>
        <w:t xml:space="preserve"> млн.тенге</w:t>
      </w:r>
      <w:r>
        <w:rPr>
          <w:rFonts w:cs="Arial" w:ascii="Arial" w:hAnsi="Arial"/>
          <w:b/>
          <w:i/>
          <w:sz w:val="24"/>
          <w:szCs w:val="24"/>
          <w:lang w:val="ru-RU"/>
        </w:rPr>
        <w:t>, ИФО 81,5%</w:t>
      </w:r>
      <w:r>
        <w:rPr>
          <w:rFonts w:cs="Arial" w:ascii="Arial" w:hAnsi="Arial"/>
          <w:b/>
          <w:i/>
          <w:sz w:val="24"/>
          <w:szCs w:val="24"/>
        </w:rPr>
        <w:t>).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</w:p>
    <w:p>
      <w:pPr>
        <w:pStyle w:val="Style19"/>
        <w:rPr>
          <w:rFonts w:ascii="Arial" w:hAnsi="Arial" w:cs="Arial"/>
          <w:b/>
          <w:b/>
          <w:i/>
          <w:i/>
          <w:color w:val="FF0000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FF0000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СОЦИАЛЬНАЯ  ЗАЩИТА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  <w:tab/>
        <w:t xml:space="preserve">  </w:t>
      </w:r>
      <w:r>
        <w:rPr>
          <w:rFonts w:cs="Arial" w:ascii="Arial" w:hAnsi="Arial"/>
          <w:b/>
          <w:sz w:val="32"/>
          <w:szCs w:val="32"/>
          <w:u w:val="single"/>
        </w:rPr>
        <w:t>Труд и занятость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В районе за 1 квартал текущего года трудоустроено </w:t>
      </w:r>
      <w:r>
        <w:rPr>
          <w:rFonts w:cs="Arial" w:ascii="Arial" w:hAnsi="Arial"/>
          <w:b/>
          <w:sz w:val="32"/>
          <w:szCs w:val="32"/>
          <w:lang w:val="kk-KZ"/>
        </w:rPr>
        <w:t>208</w:t>
      </w:r>
      <w:r>
        <w:rPr>
          <w:rFonts w:cs="Arial" w:ascii="Arial" w:hAnsi="Arial"/>
          <w:b/>
          <w:sz w:val="32"/>
          <w:szCs w:val="32"/>
        </w:rPr>
        <w:t xml:space="preserve"> человек</w:t>
      </w:r>
      <w:r>
        <w:rPr>
          <w:rFonts w:cs="Arial" w:ascii="Arial" w:hAnsi="Arial"/>
          <w:sz w:val="32"/>
          <w:szCs w:val="32"/>
        </w:rPr>
        <w:t xml:space="preserve"> или </w:t>
      </w:r>
      <w:r>
        <w:rPr>
          <w:rFonts w:cs="Arial" w:ascii="Arial" w:hAnsi="Arial"/>
          <w:b/>
          <w:sz w:val="32"/>
          <w:szCs w:val="32"/>
        </w:rPr>
        <w:t>17,1%</w:t>
      </w:r>
      <w:r>
        <w:rPr>
          <w:rFonts w:cs="Arial" w:ascii="Arial" w:hAnsi="Arial"/>
          <w:sz w:val="32"/>
          <w:szCs w:val="32"/>
        </w:rPr>
        <w:t xml:space="preserve">  от  годового плана</w:t>
      </w:r>
      <w:r>
        <w:rPr>
          <w:rFonts w:cs="Arial" w:ascii="Arial" w:hAnsi="Arial"/>
          <w:i/>
          <w:sz w:val="24"/>
          <w:szCs w:val="24"/>
        </w:rPr>
        <w:t xml:space="preserve"> (годовой план 12</w:t>
      </w:r>
      <w:r>
        <w:rPr>
          <w:rFonts w:cs="Arial" w:ascii="Arial" w:hAnsi="Arial"/>
          <w:i/>
          <w:sz w:val="24"/>
          <w:szCs w:val="24"/>
          <w:lang w:val="kk-KZ"/>
        </w:rPr>
        <w:t>16</w:t>
      </w:r>
      <w:r>
        <w:rPr>
          <w:rFonts w:cs="Arial" w:ascii="Arial" w:hAnsi="Arial"/>
          <w:i/>
          <w:sz w:val="24"/>
          <w:szCs w:val="24"/>
        </w:rPr>
        <w:t xml:space="preserve"> человек)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i/>
          <w:sz w:val="28"/>
          <w:szCs w:val="28"/>
        </w:rPr>
        <w:tab/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28"/>
          <w:szCs w:val="28"/>
          <w:lang w:val="kk-KZ"/>
        </w:rPr>
        <w:tab/>
        <w:t>План отчетного периода исполнен на 100%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ab/>
        <w:t xml:space="preserve"> Справочно: В сравнении 1 кварталом 2021 года уменьшение на 5 человек или на 2% (1 полугодие 2021 - 213 человек).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 Создано </w:t>
      </w:r>
      <w:r>
        <w:rPr>
          <w:rFonts w:cs="Arial" w:ascii="Arial" w:hAnsi="Arial"/>
          <w:b/>
          <w:sz w:val="32"/>
          <w:szCs w:val="32"/>
        </w:rPr>
        <w:t>61 новое</w:t>
      </w:r>
      <w:r>
        <w:rPr>
          <w:rFonts w:cs="Arial" w:ascii="Arial" w:hAnsi="Arial"/>
          <w:sz w:val="32"/>
          <w:szCs w:val="32"/>
        </w:rPr>
        <w:t xml:space="preserve"> постоянное рабочее место или </w:t>
      </w:r>
      <w:r>
        <w:rPr>
          <w:rFonts w:cs="Arial" w:ascii="Arial" w:hAnsi="Arial"/>
          <w:b/>
          <w:sz w:val="32"/>
          <w:szCs w:val="32"/>
        </w:rPr>
        <w:t>12,2%</w:t>
      </w:r>
      <w:r>
        <w:rPr>
          <w:rFonts w:cs="Arial" w:ascii="Arial" w:hAnsi="Arial"/>
          <w:sz w:val="32"/>
          <w:szCs w:val="32"/>
        </w:rPr>
        <w:t xml:space="preserve"> от годового плана </w:t>
      </w:r>
      <w:r>
        <w:rPr>
          <w:rFonts w:cs="Arial" w:ascii="Arial" w:hAnsi="Arial"/>
          <w:i/>
          <w:sz w:val="24"/>
          <w:szCs w:val="24"/>
        </w:rPr>
        <w:t>(годовой план - 501 место</w:t>
      </w:r>
      <w:r>
        <w:rPr>
          <w:rFonts w:cs="Arial" w:ascii="Arial" w:hAnsi="Arial"/>
          <w:i/>
          <w:sz w:val="28"/>
          <w:szCs w:val="28"/>
        </w:rPr>
        <w:t>)</w:t>
      </w:r>
      <w:r>
        <w:rPr>
          <w:rFonts w:cs="Arial" w:ascii="Arial" w:hAnsi="Arial"/>
          <w:sz w:val="32"/>
          <w:szCs w:val="32"/>
        </w:rPr>
        <w:t>.</w:t>
        <w:tab/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План отчетного периода исполнен на 100% </w:t>
      </w:r>
      <w:r>
        <w:rPr>
          <w:rFonts w:cs="Arial" w:ascii="Arial" w:hAnsi="Arial"/>
          <w:sz w:val="28"/>
          <w:szCs w:val="28"/>
        </w:rPr>
        <w:t>(план 1 квартал 2022 года 61 человек).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</w:t>
      </w:r>
      <w:r>
        <w:rPr>
          <w:rFonts w:cs="Arial" w:ascii="Arial" w:hAnsi="Arial"/>
          <w:sz w:val="24"/>
          <w:szCs w:val="24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>В сравнении с 1 кварталом 2021 года  увеличение на 2%  или на 1 человек (1 квартал 2021 года - 60 мест).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 Уровень зарегистрированной безработицы к численности экономически активного населения составил </w:t>
      </w:r>
      <w:r>
        <w:rPr>
          <w:rFonts w:cs="Arial" w:ascii="Arial" w:hAnsi="Arial"/>
          <w:b/>
          <w:sz w:val="32"/>
          <w:szCs w:val="32"/>
        </w:rPr>
        <w:t>1,7%</w:t>
      </w:r>
      <w:r>
        <w:rPr>
          <w:rFonts w:cs="Arial" w:ascii="Arial" w:hAnsi="Arial"/>
          <w:sz w:val="32"/>
          <w:szCs w:val="32"/>
        </w:rPr>
        <w:t xml:space="preserve">                             (200 безработны</w:t>
      </w:r>
      <w:r>
        <w:rPr>
          <w:rFonts w:cs="Arial" w:ascii="Arial" w:hAnsi="Arial"/>
          <w:sz w:val="32"/>
          <w:szCs w:val="32"/>
          <w:lang w:val="kk-KZ"/>
        </w:rPr>
        <w:t>х</w:t>
      </w:r>
      <w:r>
        <w:rPr>
          <w:rFonts w:cs="Arial" w:ascii="Arial" w:hAnsi="Arial"/>
          <w:sz w:val="32"/>
          <w:szCs w:val="32"/>
        </w:rPr>
        <w:t xml:space="preserve">), за аналогичный период 2021 года 2,2%                    (289 человек). 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color w:val="FF0000"/>
        </w:rPr>
      </w:pPr>
      <w:r>
        <w:rPr>
          <w:rFonts w:cs="Arial" w:ascii="Arial" w:hAnsi="Arial"/>
          <w:sz w:val="32"/>
          <w:szCs w:val="32"/>
        </w:rPr>
        <w:tab/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color w:val="FF0000"/>
          <w:sz w:val="32"/>
          <w:szCs w:val="32"/>
        </w:rPr>
        <w:tab/>
      </w:r>
      <w:r>
        <w:rPr>
          <w:rFonts w:cs="Arial" w:ascii="Arial" w:hAnsi="Arial"/>
          <w:b/>
          <w:sz w:val="32"/>
          <w:szCs w:val="32"/>
          <w:lang w:val="kk-KZ"/>
        </w:rPr>
        <w:t>СРЕДНЕМЕСЯЧНАЯ ЗАРАБОТНАЯ  ПЛАТА з</w:t>
      </w:r>
      <w:r>
        <w:rPr>
          <w:rFonts w:cs="Arial" w:ascii="Arial" w:hAnsi="Arial"/>
          <w:sz w:val="32"/>
          <w:szCs w:val="32"/>
        </w:rPr>
        <w:t>а январь-декабрь 2020  года составила -</w:t>
      </w:r>
      <w:r>
        <w:rPr>
          <w:rFonts w:cs="Arial" w:ascii="Arial" w:hAnsi="Arial"/>
          <w:b/>
          <w:sz w:val="32"/>
          <w:szCs w:val="32"/>
        </w:rPr>
        <w:t>146830 тенге  рост на  124,2%</w:t>
      </w:r>
      <w:r>
        <w:rPr>
          <w:rFonts w:cs="Arial" w:ascii="Arial" w:hAnsi="Arial"/>
          <w:sz w:val="32"/>
          <w:szCs w:val="32"/>
        </w:rPr>
        <w:t xml:space="preserve"> к  уровню 2019 года, увеличение на 28592 тенге (январь-декабрь 2019г.-118238 тенге).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В отраслевой структуре наиболее высокие темпы сложились в сельском хозяйстве–150010 тенге, в промышленности 197553 тенге,  в здравоохранении 167277 тенге, в образовании 147771 тенге.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Низкая заработная плата в таких отраслях как: транспорт и складирование  81624 тенге, оптовая и розничная торговля 68850 тенге.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Индекс реальной заработной платы  составил 116.5%.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ДЕМАГРАФИЯ.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Численность населения района на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u w:val="single"/>
          <w:lang w:val="kk-KZ"/>
        </w:rPr>
        <w:t>1 марта 2022 года</w:t>
      </w:r>
      <w:r>
        <w:rPr>
          <w:rFonts w:cs="Arial" w:ascii="Arial" w:hAnsi="Arial"/>
          <w:sz w:val="32"/>
          <w:szCs w:val="32"/>
          <w:lang w:val="kk-KZ"/>
        </w:rPr>
        <w:t xml:space="preserve">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20701 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(на 1 января 2022 года 20782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По сравнению с  соответствующим преиодом численность населения уменьшилась на 559 человек или на  2,6% </w:t>
      </w:r>
      <w:r>
        <w:rPr>
          <w:rFonts w:cs="Arial" w:ascii="Arial" w:hAnsi="Arial"/>
          <w:sz w:val="24"/>
          <w:szCs w:val="24"/>
          <w:lang w:val="kk-KZ"/>
        </w:rPr>
        <w:t>(2021г январь-март 21260 человек)</w:t>
      </w:r>
      <w:r>
        <w:rPr>
          <w:rFonts w:cs="Arial" w:ascii="Arial" w:hAnsi="Arial"/>
          <w:i/>
          <w:sz w:val="24"/>
          <w:szCs w:val="24"/>
          <w:lang w:val="kk-KZ"/>
        </w:rPr>
        <w:t>.</w:t>
      </w:r>
      <w:r>
        <w:rPr>
          <w:rFonts w:cs="Arial" w:ascii="Arial" w:hAnsi="Arial"/>
          <w:sz w:val="24"/>
          <w:szCs w:val="24"/>
          <w:lang w:val="kk-KZ"/>
        </w:rPr>
        <w:t xml:space="preserve">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i/>
          <w:i/>
          <w:sz w:val="24"/>
          <w:szCs w:val="24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В январе-феврале 2022 года величина естественной убыли населения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минус 21человек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(2021г.-минус 35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За  январь-февраль 2022 года зарегистрировано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42 </w:t>
      </w:r>
      <w:r>
        <w:rPr>
          <w:rFonts w:cs="Arial" w:ascii="Arial" w:hAnsi="Arial"/>
          <w:sz w:val="32"/>
          <w:szCs w:val="32"/>
          <w:lang w:val="kk-KZ"/>
        </w:rPr>
        <w:t xml:space="preserve">новорожденных, что на 102,5% или на 1 человек больше чем в  аналогичном периоде 2021 года </w:t>
      </w:r>
      <w:r>
        <w:rPr>
          <w:rFonts w:cs="Arial" w:ascii="Arial" w:hAnsi="Arial"/>
          <w:i/>
          <w:sz w:val="24"/>
          <w:szCs w:val="24"/>
          <w:lang w:val="kk-KZ"/>
        </w:rPr>
        <w:t>(2021г.-41 человек)</w:t>
      </w:r>
      <w:r>
        <w:rPr>
          <w:rFonts w:cs="Arial" w:ascii="Arial" w:hAnsi="Arial"/>
          <w:sz w:val="32"/>
          <w:szCs w:val="32"/>
          <w:lang w:val="kk-KZ"/>
        </w:rPr>
        <w:t xml:space="preserve">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Число зарегистрированных умерших уменьшилось на 17,1% или </w:t>
      </w:r>
      <w:r>
        <w:rPr>
          <w:rFonts w:cs="Arial" w:ascii="Arial" w:hAnsi="Arial"/>
          <w:b/>
          <w:sz w:val="32"/>
          <w:szCs w:val="32"/>
          <w:lang w:val="kk-KZ"/>
        </w:rPr>
        <w:t>на 13 человек</w:t>
      </w:r>
      <w:r>
        <w:rPr>
          <w:rFonts w:cs="Arial" w:ascii="Arial" w:hAnsi="Arial"/>
          <w:sz w:val="32"/>
          <w:szCs w:val="32"/>
          <w:lang w:val="kk-KZ"/>
        </w:rPr>
        <w:t xml:space="preserve"> в сравнении с аналогичным периодом 2021 года </w:t>
      </w:r>
      <w:r>
        <w:rPr>
          <w:rFonts w:cs="Arial" w:ascii="Arial" w:hAnsi="Arial"/>
          <w:i/>
          <w:sz w:val="24"/>
          <w:szCs w:val="24"/>
          <w:lang w:val="kk-KZ"/>
        </w:rPr>
        <w:t>(2021г.-76 человек)</w:t>
      </w:r>
      <w:r>
        <w:rPr>
          <w:rFonts w:cs="Arial" w:ascii="Arial" w:hAnsi="Arial"/>
          <w:sz w:val="32"/>
          <w:szCs w:val="32"/>
          <w:lang w:val="kk-KZ"/>
        </w:rPr>
        <w:t xml:space="preserve"> и составило </w:t>
      </w:r>
      <w:r>
        <w:rPr>
          <w:rFonts w:cs="Arial" w:ascii="Arial" w:hAnsi="Arial"/>
          <w:b/>
          <w:sz w:val="32"/>
          <w:szCs w:val="32"/>
          <w:lang w:val="kk-KZ"/>
        </w:rPr>
        <w:t>63 человек</w:t>
      </w:r>
      <w:r>
        <w:rPr>
          <w:rFonts w:cs="Arial" w:ascii="Arial" w:hAnsi="Arial"/>
          <w:sz w:val="32"/>
          <w:szCs w:val="32"/>
          <w:lang w:val="kk-KZ"/>
        </w:rPr>
        <w:t>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b/>
          <w:b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Основное влияние на снижение численности населения оказала миграционная убыль. За январь-февраль 2022 года величина миграционной убыли составила </w:t>
      </w:r>
      <w:r>
        <w:rPr>
          <w:rFonts w:cs="Arial" w:ascii="Arial" w:hAnsi="Arial"/>
          <w:b/>
          <w:sz w:val="32"/>
          <w:szCs w:val="32"/>
          <w:lang w:val="kk-KZ"/>
        </w:rPr>
        <w:t>минус 60 человек</w:t>
      </w:r>
      <w:r>
        <w:rPr>
          <w:rFonts w:cs="Arial" w:ascii="Arial" w:hAnsi="Arial"/>
          <w:color w:val="FF0000"/>
          <w:sz w:val="32"/>
          <w:szCs w:val="32"/>
          <w:lang w:val="kk-KZ"/>
        </w:rPr>
        <w:t xml:space="preserve">, </w:t>
      </w:r>
      <w:r>
        <w:rPr>
          <w:rFonts w:cs="Arial" w:ascii="Arial" w:hAnsi="Arial"/>
          <w:sz w:val="32"/>
          <w:szCs w:val="32"/>
          <w:lang w:val="kk-KZ"/>
        </w:rPr>
        <w:t xml:space="preserve">прибыло </w:t>
      </w:r>
      <w:r>
        <w:rPr>
          <w:rFonts w:cs="Arial" w:ascii="Arial" w:hAnsi="Arial"/>
          <w:b/>
          <w:sz w:val="32"/>
          <w:szCs w:val="32"/>
          <w:lang w:val="kk-KZ"/>
        </w:rPr>
        <w:t>86 человек</w:t>
      </w:r>
      <w:r>
        <w:rPr>
          <w:rFonts w:cs="Arial" w:ascii="Arial" w:hAnsi="Arial"/>
          <w:sz w:val="32"/>
          <w:szCs w:val="32"/>
          <w:lang w:val="kk-KZ"/>
        </w:rPr>
        <w:t xml:space="preserve">, выбыло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146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внешней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lang w:val="kk-KZ"/>
        </w:rPr>
        <w:t>8 человек</w:t>
      </w:r>
      <w:r>
        <w:rPr>
          <w:rFonts w:cs="Arial" w:ascii="Arial" w:hAnsi="Arial"/>
          <w:sz w:val="32"/>
          <w:szCs w:val="32"/>
          <w:lang w:val="kk-KZ"/>
        </w:rPr>
        <w:t>, прибыло 0 человек, выбало 8 человек.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внутренней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 52 человек</w:t>
      </w:r>
      <w:r>
        <w:rPr>
          <w:rFonts w:cs="Arial" w:ascii="Arial" w:hAnsi="Arial"/>
          <w:sz w:val="32"/>
          <w:szCs w:val="32"/>
          <w:lang w:val="kk-KZ"/>
        </w:rPr>
        <w:t>, прибыло 86 человек, выбыло 138 человека, в том числе: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-</w:t>
      </w:r>
      <w:r>
        <w:rPr>
          <w:rFonts w:cs="Arial" w:ascii="Arial" w:hAnsi="Arial"/>
          <w:i/>
          <w:sz w:val="28"/>
          <w:szCs w:val="28"/>
          <w:lang w:val="kk-KZ"/>
        </w:rPr>
        <w:t>межрегиональня миграция сальдо минус 4 человека, прибыло 25 человек, выбыло 29 человек,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i/>
          <w:sz w:val="28"/>
          <w:szCs w:val="28"/>
          <w:lang w:val="kk-KZ"/>
        </w:rPr>
        <w:t xml:space="preserve">-региональная мигрция сальдо минус 48, прибыло 61 человек, выбыло 109 человек.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76" w:right="616" w:header="340" w:top="396" w:footer="720" w:bottom="77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sylbek MerekeU3+Tms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KZ Arial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" cy="1987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987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4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6pt;height:15.65pt;mso-wrap-distance-left:0pt;mso-wrap-distance-right:0pt;mso-wrap-distance-top:0pt;mso-wrap-distance-bottom:0pt;margin-top:0.05pt;mso-position-vertical-relative:text;margin-left:255.4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4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6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432" w:leader="none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76" w:leader="none"/>
      </w:tabs>
      <w:ind w:left="576" w:hanging="576"/>
      <w:jc w:val="both"/>
      <w:outlineLvl w:val="1"/>
    </w:pPr>
    <w:rPr>
      <w:rFonts w:ascii="Arial" w:hAnsi="Arial" w:cs="Arial"/>
      <w:b/>
      <w:spacing w:val="6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720" w:leader="none"/>
      </w:tabs>
      <w:ind w:left="720" w:hanging="720"/>
      <w:jc w:val="both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864" w:leader="none"/>
      </w:tabs>
      <w:ind w:left="284" w:hanging="284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1" w:color="000000"/>
        <w:right w:val="single" w:sz="8" w:space="24" w:color="000000"/>
      </w:pBdr>
      <w:tabs>
        <w:tab w:val="clear" w:pos="720"/>
        <w:tab w:val="left" w:pos="1008" w:leader="none"/>
      </w:tabs>
      <w:ind w:left="1008" w:hanging="1008"/>
      <w:jc w:val="center"/>
      <w:outlineLvl w:val="4"/>
    </w:pPr>
    <w:rPr>
      <w:b/>
      <w:sz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>
      <w:b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</w:rPr>
  </w:style>
  <w:style w:type="character" w:styleId="11">
    <w:name w:val="Основной шрифт абзаца1"/>
    <w:qFormat/>
    <w:rPr/>
  </w:style>
  <w:style w:type="character" w:styleId="Style10">
    <w:name w:val="Номер страницы"/>
    <w:basedOn w:val="11"/>
    <w:rPr/>
  </w:style>
  <w:style w:type="character" w:styleId="Style11">
    <w:name w:val="Основной текст с отступом Знак"/>
    <w:qFormat/>
    <w:rPr>
      <w:rFonts w:ascii="Asylbek MerekeU3+Tms;Times New Roman" w:hAnsi="Asylbek MerekeU3+Tms;Times New Roman" w:cs="Asylbek MerekeU3+Tms;Times New Roman"/>
      <w:spacing w:val="6"/>
      <w:sz w:val="28"/>
    </w:rPr>
  </w:style>
  <w:style w:type="character" w:styleId="Style12">
    <w:name w:val="Основной текст Знак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4">
    <w:name w:val="Body Text"/>
    <w:basedOn w:val="Normal"/>
    <w:pPr>
      <w:jc w:val="both"/>
    </w:pPr>
    <w:rPr>
      <w:lang w:val="ru-RU"/>
    </w:rPr>
  </w:style>
  <w:style w:type="paragraph" w:styleId="Style15">
    <w:name w:val="List"/>
    <w:basedOn w:val="Style14"/>
    <w:pPr/>
    <w:rPr>
      <w:rFonts w:ascii="Arial" w:hAnsi="Arial" w:cs="Tahoma"/>
    </w:rPr>
  </w:style>
  <w:style w:type="paragraph" w:styleId="Style16">
    <w:name w:val="Caption"/>
    <w:basedOn w:val="Normal"/>
    <w:next w:val="Style18"/>
    <w:qFormat/>
    <w:pPr>
      <w:jc w:val="center"/>
    </w:pPr>
    <w:rPr>
      <w:rFonts w:ascii="Arial" w:hAnsi="Arial" w:cs="Arial"/>
      <w:b/>
      <w:sz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18">
    <w:name w:val="Subtitle"/>
    <w:basedOn w:val="Normal"/>
    <w:next w:val="Style14"/>
    <w:qFormat/>
    <w:pPr>
      <w:jc w:val="both"/>
    </w:pPr>
    <w:rPr>
      <w:b/>
      <w:sz w:val="30"/>
    </w:rPr>
  </w:style>
  <w:style w:type="paragraph" w:styleId="Style19">
    <w:name w:val="Body Text Indent"/>
    <w:basedOn w:val="Normal"/>
    <w:pPr>
      <w:ind w:left="0" w:right="0" w:firstLine="720"/>
      <w:jc w:val="both"/>
    </w:pPr>
    <w:rPr>
      <w:rFonts w:ascii="Asylbek MerekeU3+Tms;Times New Roman" w:hAnsi="Asylbek MerekeU3+Tms;Times New Roman" w:cs="Asylbek MerekeU3+Tms;Times New Roman"/>
      <w:spacing w:val="6"/>
      <w:sz w:val="28"/>
      <w:lang w:val="ru-RU"/>
    </w:rPr>
  </w:style>
  <w:style w:type="paragraph" w:styleId="311">
    <w:name w:val="Основной текст с отступом 31"/>
    <w:basedOn w:val="Normal"/>
    <w:qFormat/>
    <w:pPr>
      <w:ind w:left="0" w:right="0" w:firstLine="720"/>
      <w:jc w:val="both"/>
    </w:pPr>
    <w:rPr>
      <w:sz w:val="24"/>
    </w:rPr>
  </w:style>
  <w:style w:type="paragraph" w:styleId="312">
    <w:name w:val="Основной текст 31"/>
    <w:basedOn w:val="Normal"/>
    <w:qFormat/>
    <w:pPr>
      <w:jc w:val="both"/>
    </w:pPr>
    <w:rPr>
      <w:rFonts w:ascii="Arial" w:hAnsi="Arial" w:cs="Arial"/>
      <w:sz w:val="24"/>
    </w:rPr>
  </w:style>
  <w:style w:type="paragraph" w:styleId="21">
    <w:name w:val="Основной текст с отступом 21"/>
    <w:basedOn w:val="Normal"/>
    <w:qFormat/>
    <w:pPr>
      <w:ind w:left="0" w:right="0" w:firstLine="709"/>
      <w:jc w:val="both"/>
    </w:pPr>
    <w:rPr>
      <w:b/>
      <w:i/>
      <w:sz w:val="30"/>
    </w:rPr>
  </w:style>
  <w:style w:type="paragraph" w:styleId="BodyText2">
    <w:name w:val="Body Text 2"/>
    <w:basedOn w:val="Normal"/>
    <w:qFormat/>
    <w:pPr>
      <w:ind w:left="0" w:right="0" w:firstLine="720"/>
      <w:jc w:val="both"/>
    </w:pPr>
    <w:rPr>
      <w:sz w:val="30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left="0" w:right="0" w:firstLine="709"/>
      <w:jc w:val="both"/>
    </w:pPr>
    <w:rPr>
      <w:sz w:val="28"/>
    </w:rPr>
  </w:style>
  <w:style w:type="paragraph" w:styleId="14">
    <w:name w:val="Название объекта1"/>
    <w:basedOn w:val="Normal"/>
    <w:qFormat/>
    <w:pPr>
      <w:jc w:val="center"/>
    </w:pPr>
    <w:rPr>
      <w:sz w:val="28"/>
    </w:rPr>
  </w:style>
  <w:style w:type="paragraph" w:styleId="OsnTxt">
    <w:name w:val="OsnTxt"/>
    <w:qFormat/>
    <w:pPr>
      <w:widowControl/>
      <w:suppressAutoHyphens w:val="true"/>
      <w:bidi w:val="0"/>
      <w:spacing w:lineRule="exact" w:line="280"/>
      <w:ind w:firstLine="794"/>
      <w:jc w:val="both"/>
    </w:pPr>
    <w:rPr>
      <w:rFonts w:ascii="KZ Arial;Arial" w:hAnsi="KZ Arial;Arial" w:eastAsia="Arial" w:cs="KZ Arial;Arial"/>
      <w:color w:val="auto"/>
      <w:sz w:val="20"/>
      <w:szCs w:val="20"/>
      <w:lang w:val="ru-RU" w:bidi="ar-SA" w:eastAsia="zh-CN"/>
    </w:rPr>
  </w:style>
  <w:style w:type="paragraph" w:styleId="15">
    <w:name w:val=" 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6">
    <w:name w:val="Знак Знак Знак1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4">
    <w:name w:val="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7">
    <w:name w:val="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8">
    <w:name w:val=" Знак Знак Знак1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5">
    <w:name w:val="Содержимое врезки"/>
    <w:basedOn w:val="Style14"/>
    <w:qFormat/>
    <w:pPr/>
    <w:rPr/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6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19">
    <w:name w:val="Без интервала1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7">
    <w:name w:val="ОснТекст"/>
    <w:qFormat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9220</TotalTime>
  <Application>LibreOffice/6.3.4.2$Windows_x86 LibreOffice_project/60da17e045e08f1793c57c00ba83cdfce946d0aa</Application>
  <Pages>4</Pages>
  <Words>715</Words>
  <Characters>4544</Characters>
  <CharactersWithSpaces>5426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2011-03-18T10:42:00Z</dcterms:created>
  <dc:creator>Пользователь</dc:creator>
  <dc:description/>
  <cp:keywords/>
  <dc:language>ru-RU</dc:language>
  <cp:lastModifiedBy>admin</cp:lastModifiedBy>
  <cp:lastPrinted>2021-04-16T15:28:00Z</cp:lastPrinted>
  <dcterms:modified xsi:type="dcterms:W3CDTF">2022-05-19T09:39:00Z</dcterms:modified>
  <cp:revision>2772</cp:revision>
  <dc:subject/>
  <dc:title>Канцелярия Премьер-Министра Республики Казахстан</dc:title>
</cp:coreProperties>
</file>