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ind w:hanging="0"/>
        <w:jc w:val="center"/>
        <w:rPr>
          <w:b/>
          <w:b/>
          <w:sz w:val="28"/>
          <w:szCs w:val="28"/>
        </w:rPr>
      </w:pPr>
      <w:bookmarkStart w:id="0" w:name="__DdeLink__1022_2990021377"/>
      <w:r>
        <w:rPr>
          <w:b/>
          <w:sz w:val="28"/>
          <w:szCs w:val="28"/>
        </w:rPr>
        <w:t>Социально-экономический паспорт Есильского района</w:t>
      </w:r>
    </w:p>
    <w:p>
      <w:pPr>
        <w:pStyle w:val="Normal"/>
        <w:jc w:val="center"/>
        <w:rPr/>
      </w:pPr>
      <w:bookmarkStart w:id="1" w:name="__DdeLink__1022_2990021377"/>
      <w:r>
        <w:rPr>
          <w:b/>
          <w:sz w:val="32"/>
          <w:szCs w:val="32"/>
        </w:rPr>
        <w:t>на 1 апреля  2022 года.</w:t>
      </w:r>
      <w:bookmarkEnd w:id="1"/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>Аким района Оспанов Медет Дулатович работает в должности с 18 июня 2021 года.</w:t>
      </w:r>
    </w:p>
    <w:p>
      <w:pPr>
        <w:pStyle w:val="Style21"/>
        <w:rPr/>
      </w:pPr>
      <w:r>
        <w:rPr>
          <w:sz w:val="28"/>
          <w:szCs w:val="28"/>
        </w:rPr>
        <w:t>Есильский (бывший Ленинский) район образован в 1928 году, переименован в Есильский район  в1997 году.</w:t>
      </w:r>
    </w:p>
    <w:p>
      <w:pPr>
        <w:pStyle w:val="Style21"/>
        <w:rPr>
          <w:sz w:val="28"/>
        </w:rPr>
      </w:pPr>
      <w:r>
        <w:rPr>
          <w:sz w:val="28"/>
          <w:szCs w:val="28"/>
        </w:rPr>
        <w:t>Территория – 5,14 тыс. кв. км</w:t>
      </w:r>
      <w:r>
        <w:rPr>
          <w:sz w:val="28"/>
        </w:rPr>
        <w:t>, удельный вес в территории области составляет 5,2 %.</w:t>
      </w:r>
    </w:p>
    <w:p>
      <w:pPr>
        <w:pStyle w:val="Style21"/>
        <w:rPr>
          <w:sz w:val="28"/>
        </w:rPr>
      </w:pPr>
      <w:r>
        <w:rPr>
          <w:sz w:val="28"/>
        </w:rPr>
      </w:r>
    </w:p>
    <w:p>
      <w:pPr>
        <w:pStyle w:val="Style21"/>
        <w:rPr/>
      </w:pPr>
      <w:r>
        <w:rPr>
          <w:b/>
          <w:sz w:val="28"/>
        </w:rPr>
        <w:t>Административно-территориальное деление</w:t>
      </w:r>
      <w:r>
        <w:rPr>
          <w:sz w:val="28"/>
        </w:rPr>
        <w:t>:</w:t>
      </w:r>
    </w:p>
    <w:tbl>
      <w:tblPr>
        <w:tblW w:w="8506" w:type="dxa"/>
        <w:jc w:val="left"/>
        <w:tblInd w:w="-14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127"/>
      </w:tblGrid>
      <w:tr>
        <w:trPr/>
        <w:tc>
          <w:tcPr>
            <w:tcW w:w="6379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наименование райцентра (областного центра)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с.Явленка</w:t>
            </w:r>
          </w:p>
        </w:tc>
      </w:tr>
      <w:tr>
        <w:trPr/>
        <w:tc>
          <w:tcPr>
            <w:tcW w:w="6379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расстояние до областного центра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76 км</w:t>
            </w:r>
          </w:p>
        </w:tc>
      </w:tr>
      <w:tr>
        <w:trPr/>
        <w:tc>
          <w:tcPr>
            <w:tcW w:w="6379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всего административно-территориальных единиц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/>
        <w:tc>
          <w:tcPr>
            <w:tcW w:w="6379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в том числе: городов  районного подчинения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Style21"/>
              <w:snapToGrid w:val="false"/>
              <w:ind w:hanging="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6379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аульных (сельских) округов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/>
        <w:tc>
          <w:tcPr>
            <w:tcW w:w="6379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всего населенных пунктов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Style21"/>
              <w:ind w:hanging="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</w:rPr>
        <w:t>Численность населения</w:t>
      </w:r>
      <w:r>
        <w:rPr>
          <w:sz w:val="28"/>
        </w:rPr>
        <w:t xml:space="preserve"> на 1 марта 20</w:t>
      </w:r>
      <w:r>
        <w:rPr>
          <w:sz w:val="28"/>
          <w:lang w:val="kk-KZ"/>
        </w:rPr>
        <w:t>22</w:t>
      </w:r>
      <w:r>
        <w:rPr>
          <w:sz w:val="28"/>
        </w:rPr>
        <w:t xml:space="preserve"> года составила </w:t>
      </w:r>
      <w:r>
        <w:rPr>
          <w:sz w:val="28"/>
          <w:lang w:val="kk-KZ"/>
        </w:rPr>
        <w:t>20701</w:t>
      </w:r>
      <w:r>
        <w:rPr>
          <w:sz w:val="28"/>
        </w:rPr>
        <w:t xml:space="preserve"> человек  или </w:t>
      </w:r>
      <w:r>
        <w:rPr>
          <w:sz w:val="28"/>
          <w:lang w:val="kk-KZ"/>
        </w:rPr>
        <w:t>3,9</w:t>
      </w:r>
      <w:r>
        <w:rPr>
          <w:sz w:val="28"/>
        </w:rPr>
        <w:t xml:space="preserve">  процента к общему населению области. По национальному соста</w:t>
      </w:r>
      <w:r>
        <w:rPr/>
        <w:t>ву оно выглядит следующим образом:</w:t>
      </w:r>
    </w:p>
    <w:tbl>
      <w:tblPr>
        <w:tblW w:w="9366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396"/>
      </w:tblGrid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казахи       -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8,0  тыс. человек или 38,4%;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русские     -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11,1 тыс. человек или 53,3%;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украинцы  -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0,3 тыс. человек или 1,4%;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немцы       -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0,6 тыс. человек или 2,9%;</w:t>
            </w:r>
          </w:p>
        </w:tc>
      </w:tr>
      <w:tr>
        <w:trPr>
          <w:trHeight w:val="356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другие национальности -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0,7 тыс. человек  или 4,0%;</w:t>
            </w:r>
          </w:p>
        </w:tc>
      </w:tr>
    </w:tbl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tbl>
      <w:tblPr>
        <w:tblW w:w="936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1417"/>
        <w:gridCol w:w="1559"/>
        <w:gridCol w:w="2420"/>
      </w:tblGrid>
      <w:tr>
        <w:trPr>
          <w:trHeight w:val="429" w:hRule="atLeast"/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Миграция населения: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202</w:t>
            </w:r>
            <w:r>
              <w:rPr>
                <w:b/>
                <w:sz w:val="28"/>
                <w:lang w:val="kk-KZ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</w:tr>
      <w:tr>
        <w:trPr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прибыло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148</w:t>
            </w:r>
          </w:p>
        </w:tc>
      </w:tr>
      <w:tr>
        <w:trPr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выбыло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151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200</w:t>
            </w:r>
          </w:p>
        </w:tc>
      </w:tr>
      <w:tr>
        <w:trPr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миграционное сальдо (+/-)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-81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-52</w:t>
            </w:r>
          </w:p>
        </w:tc>
      </w:tr>
      <w:tr>
        <w:trPr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Демография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родившиеся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43</w:t>
            </w:r>
          </w:p>
        </w:tc>
      </w:tr>
      <w:tr>
        <w:trPr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умершие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50</w:t>
            </w:r>
          </w:p>
        </w:tc>
      </w:tr>
      <w:tr>
        <w:trPr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Естественный  прирос (убыль)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-35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-7</w:t>
            </w:r>
          </w:p>
        </w:tc>
      </w:tr>
    </w:tbl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Природные ресурсы.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Водные ресурсы - 2 реки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Крупные озера -16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Мелкие озера - 322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Охраняемые зоны (заповедники, питомники, лесные хозяйства, др. природоохранные зоны)  - нет</w:t>
      </w:r>
    </w:p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*Промышленность.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Наибольший удельный вес в общем объеме промышленного производства занимают: производство продуктов питания  –</w:t>
      </w:r>
      <w:r>
        <w:rPr>
          <w:sz w:val="28"/>
          <w:szCs w:val="28"/>
          <w:lang w:val="kk-KZ"/>
        </w:rPr>
        <w:t>38</w:t>
      </w:r>
      <w:r>
        <w:rPr>
          <w:sz w:val="28"/>
          <w:szCs w:val="28"/>
        </w:rPr>
        <w:t xml:space="preserve">%, </w:t>
      </w:r>
      <w:r>
        <w:rPr>
          <w:sz w:val="28"/>
          <w:szCs w:val="28"/>
          <w:lang w:val="kk-KZ"/>
        </w:rPr>
        <w:t xml:space="preserve">горнодобывающая промышленносить -22%, </w:t>
      </w:r>
      <w:r>
        <w:rPr>
          <w:sz w:val="28"/>
          <w:szCs w:val="28"/>
        </w:rPr>
        <w:t xml:space="preserve">системы подачи пара и кондиционирования воздуха – </w:t>
      </w:r>
      <w:r>
        <w:rPr>
          <w:sz w:val="28"/>
          <w:szCs w:val="28"/>
          <w:lang w:val="kk-KZ"/>
        </w:rPr>
        <w:t>7,5</w:t>
      </w:r>
      <w:r>
        <w:rPr>
          <w:sz w:val="28"/>
          <w:szCs w:val="28"/>
        </w:rPr>
        <w:t xml:space="preserve">%, сбор, обработка и распределение воды – 13,7%.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Объем выпускаемой промышленной продукции за январь-</w:t>
      </w:r>
      <w:r>
        <w:rPr>
          <w:sz w:val="28"/>
          <w:szCs w:val="28"/>
          <w:lang w:val="kk-KZ"/>
        </w:rPr>
        <w:t>март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kk-KZ"/>
        </w:rPr>
        <w:t>22</w:t>
      </w:r>
      <w:r>
        <w:rPr>
          <w:sz w:val="28"/>
          <w:szCs w:val="28"/>
        </w:rPr>
        <w:t xml:space="preserve"> года составил </w:t>
      </w:r>
      <w:r>
        <w:rPr>
          <w:sz w:val="28"/>
          <w:szCs w:val="28"/>
          <w:lang w:val="kk-KZ"/>
        </w:rPr>
        <w:t>1088,4</w:t>
      </w:r>
      <w:r>
        <w:rPr>
          <w:sz w:val="28"/>
          <w:szCs w:val="28"/>
        </w:rPr>
        <w:t xml:space="preserve"> млн.тенге </w:t>
      </w:r>
      <w:r>
        <w:rPr>
          <w:sz w:val="28"/>
          <w:szCs w:val="28"/>
          <w:lang w:val="kk-KZ"/>
        </w:rPr>
        <w:t xml:space="preserve"> ИФО 111,4%</w:t>
      </w:r>
      <w:r>
        <w:rPr>
          <w:sz w:val="28"/>
          <w:szCs w:val="28"/>
        </w:rPr>
        <w:t xml:space="preserve"> к соответствующему периоду 20</w:t>
      </w:r>
      <w:r>
        <w:rPr>
          <w:sz w:val="28"/>
          <w:szCs w:val="28"/>
          <w:lang w:val="kk-KZ"/>
        </w:rPr>
        <w:t>21</w:t>
      </w:r>
      <w:r>
        <w:rPr>
          <w:sz w:val="28"/>
          <w:szCs w:val="28"/>
        </w:rPr>
        <w:t xml:space="preserve"> года.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За 1 квартал 2022 года произведено сельскохозяйственной продукции:</w:t>
      </w:r>
    </w:p>
    <w:p>
      <w:pPr>
        <w:pStyle w:val="Normal"/>
        <w:jc w:val="both"/>
        <w:rPr/>
      </w:pPr>
      <w:r>
        <w:rPr>
          <w:sz w:val="28"/>
          <w:szCs w:val="28"/>
        </w:rPr>
        <w:t>-муки -</w:t>
      </w:r>
      <w:r>
        <w:rPr>
          <w:sz w:val="28"/>
          <w:szCs w:val="28"/>
          <w:lang w:val="kk-KZ"/>
        </w:rPr>
        <w:t>995</w:t>
      </w:r>
      <w:r>
        <w:rPr>
          <w:sz w:val="28"/>
          <w:szCs w:val="28"/>
        </w:rPr>
        <w:t xml:space="preserve">  тонн или </w:t>
      </w:r>
      <w:r>
        <w:rPr>
          <w:sz w:val="28"/>
          <w:szCs w:val="28"/>
          <w:lang w:val="kk-KZ"/>
        </w:rPr>
        <w:t>102,6</w:t>
      </w:r>
      <w:r>
        <w:rPr>
          <w:sz w:val="28"/>
          <w:szCs w:val="28"/>
        </w:rPr>
        <w:t>% к уровню 20</w:t>
      </w:r>
      <w:r>
        <w:rPr>
          <w:sz w:val="28"/>
          <w:szCs w:val="28"/>
          <w:lang w:val="kk-KZ"/>
        </w:rPr>
        <w:t>21</w:t>
      </w:r>
      <w:r>
        <w:rPr>
          <w:sz w:val="28"/>
          <w:szCs w:val="28"/>
        </w:rPr>
        <w:t xml:space="preserve"> года,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-мяса- </w:t>
      </w:r>
      <w:r>
        <w:rPr>
          <w:sz w:val="28"/>
          <w:szCs w:val="28"/>
          <w:lang w:val="kk-KZ"/>
        </w:rPr>
        <w:t>138</w:t>
      </w:r>
      <w:r>
        <w:rPr>
          <w:sz w:val="28"/>
          <w:szCs w:val="28"/>
        </w:rPr>
        <w:t xml:space="preserve"> тонн</w:t>
      </w:r>
      <w:r>
        <w:rPr>
          <w:sz w:val="28"/>
          <w:szCs w:val="28"/>
          <w:lang w:val="kk-KZ"/>
        </w:rPr>
        <w:t xml:space="preserve"> или 170%</w:t>
      </w:r>
      <w:r>
        <w:rPr>
          <w:sz w:val="28"/>
          <w:szCs w:val="28"/>
        </w:rPr>
        <w:t xml:space="preserve"> к уровню 2021 года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-хлеба-97 тонна или 104,3% к уровню 2021 года, </w:t>
      </w:r>
    </w:p>
    <w:p>
      <w:pPr>
        <w:pStyle w:val="Normal"/>
        <w:jc w:val="both"/>
        <w:rPr/>
      </w:pPr>
      <w:r>
        <w:rPr>
          <w:sz w:val="28"/>
          <w:szCs w:val="28"/>
        </w:rPr>
        <w:t>-макарон-206 тонн рост на 101% к уровню 2021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Переработкой в районе занимаются 10 мельниц, 18 пекарен, 1 колбасный цех, 1 цех по переработке молока, 2  цеха по производству растительного масла, 1 цех по копчению  рыбы, 1 цех по изготовлению пельменей, 1 цех по производству макарон, 1 убойный пункт, 7 убойных  площадок.</w:t>
      </w:r>
    </w:p>
    <w:p>
      <w:pPr>
        <w:pStyle w:val="Normal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Сельское хозяйство.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20"/>
        <w:jc w:val="both"/>
        <w:rPr/>
      </w:pPr>
      <w:r>
        <w:rPr>
          <w:sz w:val="28"/>
        </w:rPr>
        <w:t>Площадь сельскохозяйственных угодий составляет 448,9 тыс. га, в том числе пашни – 322,7 тыс. га, пастбищ и сенокосных угодий – 124,6</w:t>
      </w:r>
      <w:r>
        <w:rPr/>
        <w:t xml:space="preserve"> тыс. га.</w:t>
      </w:r>
    </w:p>
    <w:tbl>
      <w:tblPr>
        <w:tblW w:w="87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842"/>
        <w:gridCol w:w="1418"/>
        <w:gridCol w:w="1711"/>
      </w:tblGrid>
      <w:tr>
        <w:trPr>
          <w:cantSplit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202</w:t>
            </w:r>
            <w:r>
              <w:rPr>
                <w:b/>
                <w:sz w:val="28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</w:tr>
      <w:tr>
        <w:trPr>
          <w:cantSplit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sz w:val="28"/>
              </w:rPr>
              <w:t>Численность агроформирований, 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256</w:t>
            </w:r>
          </w:p>
        </w:tc>
      </w:tr>
      <w:tr>
        <w:trPr>
          <w:cantSplit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в том числе:  ТОО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>
        <w:trPr>
          <w:cantSplit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Крестьянских  и фермерских хозяйств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</w:t>
            </w:r>
          </w:p>
        </w:tc>
      </w:tr>
      <w:tr>
        <w:trPr>
          <w:cantSplit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Других, в т.ч. производственный кооператив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cantSplit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юр.лица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/>
      </w:pPr>
      <w:r>
        <w:rPr>
          <w:b/>
          <w:sz w:val="28"/>
        </w:rPr>
        <w:t>*Поголовье скота и птицы во всех категориях хозяйств.</w:t>
      </w:r>
    </w:p>
    <w:p>
      <w:pPr>
        <w:pStyle w:val="Normal"/>
        <w:tabs>
          <w:tab w:val="clear" w:pos="720"/>
          <w:tab w:val="left" w:pos="8080" w:leader="none"/>
        </w:tabs>
        <w:ind w:firstLine="720"/>
        <w:jc w:val="both"/>
        <w:rPr>
          <w:b/>
          <w:b/>
          <w:sz w:val="28"/>
        </w:rPr>
      </w:pPr>
      <w:r>
        <w:rPr>
          <w:b/>
          <w:sz w:val="28"/>
        </w:rPr>
      </w:r>
    </w:p>
    <w:tbl>
      <w:tblPr>
        <w:tblW w:w="90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1134"/>
        <w:gridCol w:w="1134"/>
        <w:gridCol w:w="1134"/>
        <w:gridCol w:w="1134"/>
        <w:gridCol w:w="1427"/>
      </w:tblGrid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szCs w:val="24"/>
              </w:rPr>
              <w:t>Поголовье скота, тыс. 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К уровню предыдущего года, %</w:t>
            </w:r>
          </w:p>
        </w:tc>
      </w:tr>
      <w:tr>
        <w:trPr>
          <w:trHeight w:val="209" w:hRule="atLeast"/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КРС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102,2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В том числе: коров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11,7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102,8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лошадей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104,8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свиней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110,2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овец и коз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25,8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104,0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136,5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101,3</w:t>
            </w:r>
          </w:p>
        </w:tc>
      </w:tr>
    </w:tbl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  <w:t>*</w:t>
      </w:r>
    </w:p>
    <w:tbl>
      <w:tblPr>
        <w:tblW w:w="90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1134"/>
        <w:gridCol w:w="1134"/>
        <w:gridCol w:w="1134"/>
        <w:gridCol w:w="1134"/>
        <w:gridCol w:w="1427"/>
      </w:tblGrid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szCs w:val="24"/>
              </w:rPr>
              <w:t>Производство животноводческой продукции, тыс. тонн.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К уровню предыдущего года, %</w:t>
            </w:r>
          </w:p>
        </w:tc>
      </w:tr>
      <w:tr>
        <w:trPr>
          <w:trHeight w:val="981" w:hRule="atLeast"/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Мяса, тыс. тонн.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1427,7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1426,7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1425,9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103,5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Молока, тыс. тонн.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4787,5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4598,6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4029,3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103,5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Яиц, млн. 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1162,3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101,6</w:t>
            </w:r>
          </w:p>
        </w:tc>
      </w:tr>
    </w:tbl>
    <w:p>
      <w:pPr>
        <w:pStyle w:val="Normal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ind w:firstLine="720"/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Социальная инфраструктура.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val="kk-KZ" w:eastAsia="ru-RU"/>
        </w:rPr>
      </w:pPr>
      <w:r>
        <w:rPr>
          <w:rFonts w:eastAsia="Calibri"/>
          <w:b/>
          <w:sz w:val="28"/>
          <w:szCs w:val="28"/>
        </w:rPr>
        <w:t xml:space="preserve">Сеть автодорог в районе составляет 573 км, </w:t>
      </w:r>
      <w:r>
        <w:rPr>
          <w:rFonts w:eastAsia="Calibri"/>
          <w:sz w:val="28"/>
          <w:szCs w:val="28"/>
        </w:rPr>
        <w:t xml:space="preserve">из них республиканского значения </w:t>
      </w:r>
      <w:r>
        <w:rPr>
          <w:rFonts w:eastAsia="Calibri"/>
          <w:b/>
          <w:sz w:val="28"/>
          <w:szCs w:val="28"/>
        </w:rPr>
        <w:t xml:space="preserve">76 </w:t>
      </w:r>
      <w:r>
        <w:rPr>
          <w:rFonts w:eastAsia="Calibri"/>
          <w:sz w:val="28"/>
          <w:szCs w:val="28"/>
        </w:rPr>
        <w:t xml:space="preserve">км, областного значения </w:t>
      </w:r>
      <w:r>
        <w:rPr>
          <w:rFonts w:eastAsia="Calibri"/>
          <w:b/>
          <w:sz w:val="28"/>
          <w:szCs w:val="28"/>
        </w:rPr>
        <w:t xml:space="preserve">202 </w:t>
      </w:r>
      <w:r>
        <w:rPr>
          <w:rFonts w:eastAsia="Calibri"/>
          <w:sz w:val="28"/>
          <w:szCs w:val="28"/>
        </w:rPr>
        <w:t>км, районного</w:t>
      </w:r>
      <w:r>
        <w:rPr>
          <w:rFonts w:eastAsia="Calibri"/>
          <w:b/>
          <w:sz w:val="28"/>
          <w:szCs w:val="28"/>
        </w:rPr>
        <w:t xml:space="preserve"> 295 </w:t>
      </w:r>
      <w:r>
        <w:rPr>
          <w:rFonts w:eastAsia="Calibri"/>
          <w:sz w:val="28"/>
          <w:szCs w:val="28"/>
        </w:rPr>
        <w:t xml:space="preserve">км, а также по покрытиям </w:t>
      </w:r>
      <w:r>
        <w:rPr>
          <w:rFonts w:eastAsia="Calibri"/>
          <w:b/>
          <w:sz w:val="28"/>
          <w:szCs w:val="28"/>
        </w:rPr>
        <w:t xml:space="preserve">238 </w:t>
      </w:r>
      <w:r>
        <w:rPr>
          <w:rFonts w:eastAsia="Calibri"/>
          <w:sz w:val="28"/>
          <w:szCs w:val="28"/>
        </w:rPr>
        <w:t xml:space="preserve">км с черным покрытием, </w:t>
      </w:r>
      <w:r>
        <w:rPr>
          <w:rFonts w:eastAsia="Calibri"/>
          <w:b/>
          <w:sz w:val="28"/>
          <w:szCs w:val="28"/>
        </w:rPr>
        <w:t>173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</w:rPr>
        <w:t xml:space="preserve">км с гравийным покрытием, </w:t>
      </w:r>
      <w:r>
        <w:rPr>
          <w:rFonts w:eastAsia="Calibri"/>
          <w:b/>
          <w:sz w:val="28"/>
          <w:szCs w:val="28"/>
        </w:rPr>
        <w:t>162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</w:rPr>
        <w:t>км грунтовых дорог.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>На территории района действует 29 автобусных маршрута, в т. ч. 14 формируются в населенных пунктах района, 15 автобусных маршрута  формируются в других районах и 1 межобластной маршрут «Петропавловск-Костанай».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На автодорогах находится 2 моста и водопропускная труба с. Александровка.</w:t>
      </w:r>
    </w:p>
    <w:p>
      <w:pPr>
        <w:pStyle w:val="Style21"/>
        <w:rPr/>
      </w:pPr>
      <w:r>
        <w:rPr>
          <w:sz w:val="28"/>
          <w:szCs w:val="28"/>
        </w:rPr>
        <w:t>Основными источниками водоснабжения  района является  р.Ишим и подземные воды.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10-ти населенных пунктах твких как: с. Амангельдинское, с.Кара-Агаш, с.Тау-агаш, с.Корнеевка, с.Новоузенка, с.Ивано-Петровка, с.Волошинка, с.Ясновка, с.Спасовка, с.Горное население пользуется водой из локальных источников водоснабжения.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29 населенных пунктах имеется подключение к магистральным групповым водопроводам.</w:t>
      </w:r>
    </w:p>
    <w:p>
      <w:pPr>
        <w:pStyle w:val="Normal"/>
        <w:spacing w:before="0" w:after="0"/>
        <w:ind w:firstLine="709"/>
        <w:contextualSpacing/>
        <w:jc w:val="both"/>
        <w:rPr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</w:r>
    </w:p>
    <w:p>
      <w:pPr>
        <w:pStyle w:val="2"/>
        <w:shd w:fill="FFFFFF" w:val="clear"/>
        <w:ind w:hanging="0"/>
        <w:rPr>
          <w:szCs w:val="28"/>
        </w:rPr>
      </w:pPr>
      <w:r>
        <w:rPr>
          <w:szCs w:val="28"/>
        </w:rPr>
        <w:t>Электроснабжение района (города).</w:t>
      </w:r>
    </w:p>
    <w:p>
      <w:pPr>
        <w:pStyle w:val="2"/>
        <w:shd w:fill="FFFFFF" w:val="clear"/>
        <w:ind w:firstLine="720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Обеспеченность населенных пунктов района </w:t>
      </w:r>
      <w:r>
        <w:rPr>
          <w:b w:val="false"/>
          <w:spacing w:val="-7"/>
          <w:szCs w:val="28"/>
        </w:rPr>
        <w:t>электроэнергией -100 %.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Всего в районе действует 25 котельных, в том числе 1 центральная, 2 локальных и 22 автономных.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Обеспеченность населения безопасной питьевой водой составляет 86,2%.</w:t>
      </w:r>
    </w:p>
    <w:p>
      <w:pPr>
        <w:pStyle w:val="Style21"/>
        <w:ind w:hang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1"/>
        <w:ind w:hanging="0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Предпринимательство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>
        <w:rPr>
          <w:sz w:val="28"/>
          <w:szCs w:val="28"/>
          <w:lang w:val="kk-KZ"/>
        </w:rPr>
        <w:t xml:space="preserve">апреля </w:t>
      </w:r>
      <w:r>
        <w:rPr>
          <w:sz w:val="28"/>
          <w:szCs w:val="28"/>
        </w:rPr>
        <w:t>202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года в районе зарегистрировано 1024 субъектов малого и среднего бизнеса, из которых 136 крестьянских и фермерских хозяйств или 13,2%), 765  индивидуальных предпринимателя (74,7%), 259 юридических лиц (25,3%). </w:t>
      </w:r>
    </w:p>
    <w:p>
      <w:pPr>
        <w:pStyle w:val="Style21"/>
        <w:rPr>
          <w:b/>
          <w:b/>
          <w:sz w:val="28"/>
          <w:szCs w:val="28"/>
        </w:rPr>
      </w:pPr>
      <w:r>
        <w:rPr>
          <w:sz w:val="28"/>
          <w:szCs w:val="28"/>
        </w:rPr>
        <w:t>В структуре малого бизнеса района  38,6% занимает сельское хозяйство, 41,1 % - торгово-закупочная деятельность.</w:t>
      </w:r>
    </w:p>
    <w:p>
      <w:pPr>
        <w:pStyle w:val="Normal"/>
        <w:jc w:val="both"/>
        <w:rPr/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В районе зарегистрировано 358 объектов инфраструктуры в том числе: 19</w:t>
      </w: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-предприятий торговли, 2-оптовых магазина, 28–пунктов общественного питания, 14 аптечных пункта, 4-ветаптеки,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-парикмахерских, 7  пунктов по пошиву ремонту одежды и обуви, 3-пункта по ремонту бытовой техники, радио и телеаппаратуры, 1-пункт по ремонту мебели и столярных изделий, 15-СТО, 5-автомойки, 10 -АЗС, 6-ГАЗС, 2 цех ритуальных услуг, 2 цеха по изготовлению мебели, 20-предпринимателей занимается транспортными услугами, 27 предпринимателей занимаются прочими услугами (закуп мяса, ветеринарная деятельность, заготовка дров, ксерокопирование, выращивание овощей и т.д.).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Численность занятых в малом бизнесе достигла </w:t>
      </w:r>
      <w:r>
        <w:rPr>
          <w:sz w:val="28"/>
          <w:szCs w:val="28"/>
          <w:lang w:val="kk-KZ"/>
        </w:rPr>
        <w:t>4590</w:t>
      </w:r>
      <w:r>
        <w:rPr>
          <w:sz w:val="28"/>
          <w:szCs w:val="28"/>
        </w:rPr>
        <w:t xml:space="preserve"> человек. в сфере промышленного производства создано </w:t>
      </w:r>
      <w:r>
        <w:rPr>
          <w:sz w:val="28"/>
          <w:szCs w:val="28"/>
          <w:lang w:val="kk-KZ"/>
        </w:rPr>
        <w:t>95</w:t>
      </w:r>
      <w:r>
        <w:rPr>
          <w:sz w:val="28"/>
          <w:szCs w:val="28"/>
        </w:rPr>
        <w:t xml:space="preserve"> рабочих мест.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Поступления налогов в бюджет от субъектов малого предпринимательства  составили </w:t>
      </w:r>
      <w:r>
        <w:rPr>
          <w:sz w:val="28"/>
          <w:szCs w:val="28"/>
          <w:lang w:val="kk-KZ"/>
        </w:rPr>
        <w:t>160</w:t>
      </w:r>
      <w:r>
        <w:rPr>
          <w:sz w:val="28"/>
          <w:szCs w:val="28"/>
        </w:rPr>
        <w:t xml:space="preserve"> млн. тенге. </w:t>
      </w:r>
    </w:p>
    <w:p>
      <w:pPr>
        <w:pStyle w:val="Style2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Финансовое состояние.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Доходная часть местного бюджета по состоянию на 01.04.2022 года  исполнена на  110%, при  прогнозе поступлений  482,7 млн. тенге поступило 531,1  млн. тенге, перевыполнение на 48,4 млн.тенге.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18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1701"/>
        <w:gridCol w:w="992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319,0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332,6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 с МСУ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198,5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</w:tr>
    </w:tbl>
    <w:p>
      <w:pPr>
        <w:pStyle w:val="Normal"/>
        <w:ind w:firstLine="709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tabs>
          <w:tab w:val="clear" w:pos="720"/>
          <w:tab w:val="left" w:pos="3620" w:leader="none"/>
        </w:tabs>
        <w:jc w:val="both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tabs>
          <w:tab w:val="clear" w:pos="720"/>
          <w:tab w:val="left" w:pos="3620" w:leader="none"/>
        </w:tabs>
        <w:jc w:val="both"/>
        <w:rPr>
          <w:b/>
          <w:b/>
          <w:sz w:val="28"/>
        </w:rPr>
      </w:pPr>
      <w:r>
        <w:rPr>
          <w:b/>
          <w:sz w:val="28"/>
        </w:rPr>
        <w:t>Сфера финансовых услуг.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действуют  отделения филиалов банков второго уровня АО «Народный Банк Казахстана», филиал АО «Казпочта», ТОО КТ «Достык». Имеется 6 банкоматов.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ТОО КТ «Достык» за 1 квартал 20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2  года выдало 10 кредитов на сумму 535.0 млн.тенге.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Style21"/>
        <w:ind w:hanging="0"/>
        <w:rPr>
          <w:b/>
          <w:b/>
          <w:sz w:val="28"/>
        </w:rPr>
      </w:pPr>
      <w:r>
        <w:rPr>
          <w:b/>
          <w:sz w:val="28"/>
        </w:rPr>
        <w:t>Занятость и социальная защита населения.</w:t>
      </w:r>
    </w:p>
    <w:p>
      <w:pPr>
        <w:pStyle w:val="Style21"/>
        <w:ind w:firstLine="709"/>
        <w:rPr>
          <w:b/>
          <w:b/>
          <w:sz w:val="28"/>
        </w:rPr>
      </w:pPr>
      <w:r>
        <w:rPr>
          <w:b/>
          <w:sz w:val="28"/>
        </w:rPr>
      </w:r>
    </w:p>
    <w:tbl>
      <w:tblPr>
        <w:tblW w:w="936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1440"/>
        <w:gridCol w:w="1439"/>
        <w:gridCol w:w="1737"/>
      </w:tblGrid>
      <w:tr>
        <w:trPr>
          <w:trHeight w:val="322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2022г.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</w:rPr>
              <w:t>202</w:t>
            </w:r>
            <w:r>
              <w:rPr>
                <w:b/>
                <w:sz w:val="28"/>
                <w:lang w:val="kk-KZ"/>
              </w:rPr>
              <w:t>1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2020г.</w:t>
            </w:r>
          </w:p>
        </w:tc>
      </w:tr>
      <w:tr>
        <w:trPr>
          <w:trHeight w:val="623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sz w:val="28"/>
              </w:rPr>
              <w:t>Численность зарегистрированных безработных, чел.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222</w:t>
            </w:r>
          </w:p>
        </w:tc>
      </w:tr>
      <w:tr>
        <w:trPr>
          <w:trHeight w:val="643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Уровень официальной безработицы, %.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2,2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>
        <w:trPr>
          <w:trHeight w:val="322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Трудоустроено граждан, чел.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291</w:t>
            </w:r>
          </w:p>
        </w:tc>
      </w:tr>
      <w:tr>
        <w:trPr>
          <w:trHeight w:val="302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Средняя заработная плата, тенге.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167296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146830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118238</w:t>
            </w:r>
          </w:p>
        </w:tc>
      </w:tr>
      <w:tr>
        <w:trPr>
          <w:trHeight w:val="965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/>
            </w:pPr>
            <w:r>
              <w:rPr>
                <w:sz w:val="28"/>
              </w:rPr>
              <w:t>Численность людей, относящихся к социально- уязвимым слоям населения, чел.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5649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5789</w:t>
            </w:r>
          </w:p>
        </w:tc>
      </w:tr>
      <w:tr>
        <w:trPr>
          <w:trHeight w:val="322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в т.ч. пенсионеры по возрасту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4306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4447</w:t>
            </w:r>
          </w:p>
        </w:tc>
      </w:tr>
      <w:tr>
        <w:trPr>
          <w:trHeight w:val="302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инвалиды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588</w:t>
            </w:r>
          </w:p>
        </w:tc>
      </w:tr>
      <w:tr>
        <w:trPr>
          <w:trHeight w:val="322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безработные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280</w:t>
            </w:r>
          </w:p>
        </w:tc>
      </w:tr>
      <w:tr>
        <w:trPr>
          <w:trHeight w:val="322" w:hRule="atLeast"/>
          <w:cantSplit w:val="true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малообеспеченные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474</w:t>
            </w:r>
          </w:p>
        </w:tc>
      </w:tr>
    </w:tbl>
    <w:p>
      <w:pPr>
        <w:pStyle w:val="Style21"/>
        <w:ind w:hanging="0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Style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Образование.</w:t>
      </w:r>
    </w:p>
    <w:p>
      <w:pPr>
        <w:pStyle w:val="Style21"/>
        <w:rPr/>
      </w:pPr>
      <w:r>
        <w:rPr>
          <w:sz w:val="28"/>
          <w:szCs w:val="28"/>
        </w:rPr>
        <w:t xml:space="preserve">В районе функционируют: 29 общеобразовательных школ (из них:16 средних, 7 основных, 6 начальных.), в них обучается </w:t>
      </w:r>
      <w:r>
        <w:rPr>
          <w:sz w:val="28"/>
          <w:szCs w:val="28"/>
          <w:lang w:val="kk-KZ"/>
        </w:rPr>
        <w:t>3144</w:t>
      </w:r>
      <w:r>
        <w:rPr>
          <w:sz w:val="28"/>
          <w:szCs w:val="28"/>
        </w:rPr>
        <w:t xml:space="preserve"> учащихся; 3 детских сада, (кол-во детей  </w:t>
      </w:r>
      <w:r>
        <w:rPr>
          <w:sz w:val="28"/>
          <w:szCs w:val="28"/>
          <w:lang w:val="kk-KZ"/>
        </w:rPr>
        <w:t>196</w:t>
      </w:r>
      <w:r>
        <w:rPr>
          <w:sz w:val="28"/>
          <w:szCs w:val="28"/>
        </w:rPr>
        <w:t>); музыкальная школа  в ней занимается 66 учащихся).</w:t>
      </w:r>
    </w:p>
    <w:p>
      <w:pPr>
        <w:pStyle w:val="Style21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В селе Покровка действует Есильский сельскохозяйственный колледж им.Ж.Кизатова, в селе Петровка Петровский агротехнический колледж.</w:t>
      </w:r>
    </w:p>
    <w:p>
      <w:pPr>
        <w:pStyle w:val="Style21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Функционируют  </w:t>
      </w:r>
      <w:r>
        <w:rPr>
          <w:sz w:val="28"/>
          <w:szCs w:val="28"/>
          <w:lang w:val="kk-KZ"/>
        </w:rPr>
        <w:t>19 детских мини-центра с полным днем пребывания, которые посещают 395 детей и 1 мини-центр с неполным днем пребывания, которые посещают 8 детей.</w:t>
      </w:r>
    </w:p>
    <w:p>
      <w:pPr>
        <w:pStyle w:val="Style21"/>
        <w:rPr/>
      </w:pPr>
      <w:r>
        <w:rPr>
          <w:sz w:val="28"/>
          <w:szCs w:val="28"/>
        </w:rPr>
        <w:t xml:space="preserve">В районе действуют 5 пришкольных интернатов, в них проживает </w:t>
      </w:r>
      <w:r>
        <w:rPr>
          <w:sz w:val="28"/>
          <w:szCs w:val="28"/>
          <w:lang w:val="kk-KZ"/>
        </w:rPr>
        <w:t>150</w:t>
      </w:r>
      <w:r>
        <w:rPr>
          <w:sz w:val="28"/>
          <w:szCs w:val="28"/>
        </w:rPr>
        <w:t xml:space="preserve"> учащихся. Все школы компьютеризированы, телефонизированы и подключены к сети Интернет </w:t>
      </w:r>
    </w:p>
    <w:p>
      <w:pPr>
        <w:pStyle w:val="Style21"/>
        <w:ind w:hanging="0"/>
        <w:rPr/>
      </w:pP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Обеспеченность учащихся на 1 компьютер 3 ученика. Охват детей дошкольным образованием в возрасте от 1 до 6 лет 77,3%. </w:t>
      </w:r>
    </w:p>
    <w:p>
      <w:pPr>
        <w:pStyle w:val="Style21"/>
        <w:ind w:hang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Здравоохранение.</w:t>
      </w:r>
    </w:p>
    <w:p>
      <w:pPr>
        <w:pStyle w:val="Style21"/>
        <w:rPr>
          <w:sz w:val="28"/>
        </w:rPr>
      </w:pPr>
      <w:r>
        <w:rPr>
          <w:sz w:val="28"/>
          <w:szCs w:val="28"/>
        </w:rPr>
        <w:t>В  районе функционируют 41 лечебно-профилактических организации, в том числе центральная районная больница на 55 коек</w:t>
      </w:r>
      <w:r>
        <w:rPr>
          <w:sz w:val="28"/>
        </w:rPr>
        <w:t>,</w:t>
      </w:r>
      <w:r>
        <w:rPr>
          <w:sz w:val="28"/>
          <w:szCs w:val="28"/>
        </w:rPr>
        <w:t xml:space="preserve"> 5 - врачебных амбулаторий,  29- медицинских пункта, 3 фельдшерско-акушерских  пункта. Население обслуживают 31 врача и 177 медицинских работника средней квалификации.</w:t>
      </w:r>
      <w:r>
        <w:rPr>
          <w:sz w:val="28"/>
        </w:rPr>
        <w:t xml:space="preserve"> Обеспеченность врачами по району составляет 14.9 на 10 тысяч  населения. Дефицит врачебных кадров </w:t>
      </w:r>
      <w:r>
        <w:rPr>
          <w:sz w:val="28"/>
          <w:lang w:val="kk-KZ"/>
        </w:rPr>
        <w:t>1</w:t>
      </w:r>
      <w:r>
        <w:rPr>
          <w:sz w:val="28"/>
        </w:rPr>
        <w:t>5 человек.</w:t>
      </w:r>
    </w:p>
    <w:p>
      <w:pPr>
        <w:pStyle w:val="Style21"/>
        <w:ind w:hanging="0"/>
        <w:rPr>
          <w:b/>
          <w:b/>
          <w:sz w:val="28"/>
        </w:rPr>
      </w:pPr>
      <w:r>
        <w:rPr>
          <w:b/>
          <w:sz w:val="28"/>
        </w:rPr>
        <w:t xml:space="preserve">    </w:t>
      </w:r>
    </w:p>
    <w:p>
      <w:pPr>
        <w:pStyle w:val="Style21"/>
        <w:ind w:hanging="0"/>
        <w:rPr>
          <w:b/>
          <w:b/>
          <w:sz w:val="28"/>
        </w:rPr>
      </w:pPr>
      <w:r>
        <w:rPr>
          <w:b/>
          <w:sz w:val="28"/>
        </w:rPr>
        <w:t xml:space="preserve"> </w:t>
      </w:r>
    </w:p>
    <w:p>
      <w:pPr>
        <w:pStyle w:val="Style21"/>
        <w:ind w:hanging="0"/>
        <w:rPr>
          <w:b/>
          <w:b/>
          <w:i/>
          <w:i/>
          <w:sz w:val="28"/>
        </w:rPr>
      </w:pPr>
      <w:r>
        <w:rPr>
          <w:b/>
          <w:i/>
          <w:sz w:val="28"/>
        </w:rPr>
        <w:t>Культура.</w:t>
      </w:r>
    </w:p>
    <w:p>
      <w:pPr>
        <w:pStyle w:val="Style21"/>
        <w:rPr/>
      </w:pPr>
      <w:r>
        <w:rPr>
          <w:sz w:val="28"/>
        </w:rPr>
        <w:t>В районе функционируют 43 объек</w:t>
      </w:r>
      <w:r>
        <w:rPr>
          <w:sz w:val="28"/>
          <w:lang w:val="kk-KZ"/>
        </w:rPr>
        <w:t>т</w:t>
      </w:r>
      <w:r>
        <w:rPr>
          <w:sz w:val="28"/>
        </w:rPr>
        <w:t xml:space="preserve">а  культуры различных форм собственности, (27 государственных, 16 находится в собственности хозяйствующих субъектов). </w:t>
      </w:r>
    </w:p>
    <w:p>
      <w:pPr>
        <w:pStyle w:val="Style21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>Культурный досуг населению обеспечивают 19</w:t>
      </w:r>
      <w:r>
        <w:rPr>
          <w:sz w:val="28"/>
          <w:szCs w:val="28"/>
        </w:rPr>
        <w:t xml:space="preserve"> учреждений клубного типа (7 Домов Культуры, 2 сельских клуба, 10 центров досуга), 23 библиотеки</w:t>
      </w:r>
      <w:r>
        <w:rPr>
          <w:sz w:val="28"/>
        </w:rPr>
        <w:t xml:space="preserve"> и </w:t>
      </w:r>
      <w:r>
        <w:rPr>
          <w:sz w:val="28"/>
          <w:szCs w:val="28"/>
        </w:rPr>
        <w:t>историко-краеведческий музей.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>На территории района находится 107  памятников историко-культурного наследия.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Спорт.</w:t>
        <w:tab/>
      </w:r>
    </w:p>
    <w:p>
      <w:pPr>
        <w:pStyle w:val="Style21"/>
        <w:rPr/>
      </w:pPr>
      <w:r>
        <w:rPr>
          <w:sz w:val="28"/>
          <w:szCs w:val="28"/>
        </w:rPr>
        <w:t xml:space="preserve">Из спортивных объектов в районе  функционирует  133 спортсооружения: 2 стадиона с трибуной, 23 спортивных зала,  23 хоккейных корта, 74 плоскостных сооружения, 1 лыжная база, 7 встроенных спортзалов.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действует  ДЮСШ,  где по 11 видам спорта занимаются 662 человека. За 1 квартал 2022 года было проведено 13 спортивных мероприятий, где приняло участие 1100 человек.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>Численность граждан систематически занимающихся физической культурой и спортом 7870 человек.</w:t>
      </w:r>
    </w:p>
    <w:p>
      <w:pPr>
        <w:pStyle w:val="Style21"/>
        <w:ind w:hang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>Общественных объединений</w:t>
      </w:r>
      <w:r>
        <w:rPr>
          <w:sz w:val="28"/>
          <w:szCs w:val="28"/>
        </w:rPr>
        <w:t xml:space="preserve"> – всего 6. в том числе: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ОО «Совет ветеранов» (зарегистрирован)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2.Общественное молодежное объединение «Шаг в будущее» (зарегистрирован),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Общественное объединение «Союз предпринимателей Есильского района СКО» (зарегистрирован),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4.Есильское районное представительство республиканского общественного объединения «Объединение депутатов маслихатов Казахстана» (зарегистрирован),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ОО «Общество инвалидов Есильского района» (зарегистрирован),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Частный благотворительный фонд «Мадениет» (зарегистрирован).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>Национальных культурных центров-16, в том числе</w:t>
      </w:r>
      <w:r>
        <w:rPr>
          <w:sz w:val="28"/>
          <w:szCs w:val="28"/>
        </w:rPr>
        <w:t>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Этнокультурное объединение «Звонница»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Этнокультурное объединение «Жерлес»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Этнокультурное объединение «Атамекен»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Этнокультурное объединение «Митайнандер»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 Этнокультурное объединение «Сакартвело»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 Этнокультурное объединение «Б</w:t>
      </w:r>
      <w:r>
        <w:rPr>
          <w:sz w:val="28"/>
          <w:szCs w:val="28"/>
          <w:lang w:val="kk-KZ"/>
        </w:rPr>
        <w:t>ірлік</w:t>
      </w:r>
      <w:r>
        <w:rPr>
          <w:sz w:val="28"/>
          <w:szCs w:val="28"/>
        </w:rPr>
        <w:t>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 Этнокультурное объединение «Полония»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 Этнокультурное объединение «Единство»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 Этнокультурное объединение «У р</w:t>
      </w:r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>дной хаты»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10. Этнокультурное объединение «Добрыня»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Этнокультурное объединение «Вирвите»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Этнокультурное объединение «Дуслык»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Этнокультурное объединение «Заграда»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14. Этнокультурное объединение «</w:t>
      </w:r>
      <w:r>
        <w:rPr>
          <w:sz w:val="28"/>
          <w:szCs w:val="28"/>
          <w:lang w:val="kk-KZ"/>
        </w:rPr>
        <w:t>Мейірім</w:t>
      </w:r>
      <w:r>
        <w:rPr>
          <w:sz w:val="28"/>
          <w:szCs w:val="28"/>
        </w:rPr>
        <w:t>-Добро»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Этнокультурное объединение «Халктар дустлиги»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16. Этнокультурное объединение «</w:t>
      </w:r>
      <w:r>
        <w:rPr>
          <w:sz w:val="28"/>
          <w:szCs w:val="28"/>
          <w:lang w:val="kk-KZ"/>
        </w:rPr>
        <w:t>Рапла</w:t>
      </w:r>
      <w:r>
        <w:rPr>
          <w:sz w:val="28"/>
          <w:szCs w:val="28"/>
        </w:rPr>
        <w:t>»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>Религиозные  объединения  -   11.</w:t>
      </w:r>
    </w:p>
    <w:p>
      <w:pPr>
        <w:pStyle w:val="Style21"/>
        <w:rPr/>
      </w:pPr>
      <w:r>
        <w:rPr>
          <w:sz w:val="28"/>
          <w:szCs w:val="28"/>
        </w:rPr>
        <w:t>Мечеть –5 (в селах Явленка, Петровка, Булак, Николаевка, Жаргаин).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>Намазхана -  1 село Караагаш.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Церковь – 5, в том числе   православные - 3  (с.Явленка, с.Корнеевка, </w:t>
      </w:r>
    </w:p>
    <w:p>
      <w:pPr>
        <w:pStyle w:val="Style21"/>
        <w:rPr/>
      </w:pPr>
      <w:r>
        <w:rPr>
          <w:sz w:val="28"/>
          <w:szCs w:val="28"/>
        </w:rPr>
        <w:t>с.Петровка), римско-католические - 2 (с.Корнеевка, с. Тонкошуровка).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left="0" w:firstLine="720"/>
        <w:jc w:val="both"/>
        <w:rPr/>
      </w:pPr>
      <w:r>
        <w:rPr>
          <w:szCs w:val="28"/>
        </w:rPr>
        <w:t>Политические партии -3 , в том числе: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b w:val="false"/>
          <w:szCs w:val="28"/>
        </w:rPr>
        <w:t>Филиал  Общественного объединения "</w:t>
      </w:r>
      <w:r>
        <w:rPr>
          <w:b w:val="false"/>
          <w:szCs w:val="28"/>
          <w:lang w:val="en-US"/>
        </w:rPr>
        <w:t>AMANAT</w:t>
      </w:r>
      <w:r>
        <w:rPr>
          <w:b w:val="false"/>
          <w:szCs w:val="28"/>
        </w:rPr>
        <w:t>",</w:t>
      </w:r>
    </w:p>
    <w:p>
      <w:pPr>
        <w:pStyle w:val="Style16"/>
        <w:numPr>
          <w:ilvl w:val="0"/>
          <w:numId w:val="2"/>
        </w:numPr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Филиал общественного объединения «Ауыл».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b w:val="false"/>
          <w:szCs w:val="28"/>
        </w:rPr>
        <w:t>Филиал Общественного объединения «НПК Народная партия Казахстана»</w:t>
      </w:r>
    </w:p>
    <w:p>
      <w:pPr>
        <w:pStyle w:val="Style16"/>
        <w:ind w:left="0" w:hanging="0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Средства массовой информации -2</w:t>
      </w:r>
    </w:p>
    <w:p>
      <w:pPr>
        <w:pStyle w:val="Style16"/>
        <w:numPr>
          <w:ilvl w:val="0"/>
          <w:numId w:val="3"/>
        </w:numPr>
        <w:jc w:val="left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  <w:t xml:space="preserve">Газета  «Ишим», </w:t>
      </w:r>
    </w:p>
    <w:p>
      <w:pPr>
        <w:pStyle w:val="Style16"/>
        <w:numPr>
          <w:ilvl w:val="0"/>
          <w:numId w:val="3"/>
        </w:numPr>
        <w:jc w:val="left"/>
        <w:rPr/>
      </w:pPr>
      <w:r>
        <w:rPr>
          <w:b w:val="false"/>
          <w:i/>
          <w:szCs w:val="28"/>
        </w:rPr>
        <w:t>Газета  «Е</w:t>
      </w:r>
      <w:r>
        <w:rPr>
          <w:b w:val="false"/>
          <w:i/>
          <w:szCs w:val="28"/>
          <w:lang w:val="kk-KZ"/>
        </w:rPr>
        <w:t>сіл  таңы</w:t>
      </w:r>
      <w:r>
        <w:rPr>
          <w:b w:val="false"/>
          <w:i/>
          <w:szCs w:val="28"/>
        </w:rPr>
        <w:t>»</w:t>
      </w:r>
    </w:p>
    <w:p>
      <w:pPr>
        <w:pStyle w:val="Style16"/>
        <w:jc w:val="left"/>
        <w:rPr>
          <w:b w:val="false"/>
          <w:b w:val="false"/>
          <w:i/>
          <w:i/>
          <w:szCs w:val="28"/>
        </w:rPr>
      </w:pPr>
      <w:r>
        <w:rPr>
          <w:b w:val="false"/>
          <w:i/>
          <w:szCs w:val="28"/>
        </w:rPr>
      </w:r>
    </w:p>
    <w:p>
      <w:pPr>
        <w:pStyle w:val="Normal"/>
        <w:ind w:firstLine="7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1134" w:header="397" w:top="851" w:footer="0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3"/>
                            </w:rPr>
                          </w:pPr>
                          <w:r>
                            <w:rPr>
                              <w:rStyle w:val="Style13"/>
                            </w:rPr>
                            <w:fldChar w:fldCharType="begin"/>
                          </w:r>
                          <w:r>
                            <w:rPr>
                              <w:rStyle w:val="Style13"/>
                            </w:rPr>
                            <w:instrText> PAGE </w:instrText>
                          </w:r>
                          <w:r>
                            <w:rPr>
                              <w:rStyle w:val="Style13"/>
                            </w:rPr>
                            <w:fldChar w:fldCharType="separate"/>
                          </w:r>
                          <w:r>
                            <w:rPr>
                              <w:rStyle w:val="Style13"/>
                            </w:rPr>
                            <w:t>7</w:t>
                          </w:r>
                          <w:r>
                            <w:rPr>
                              <w:rStyle w:val="Style13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24.2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3"/>
                      </w:rPr>
                    </w:pPr>
                    <w:r>
                      <w:rPr>
                        <w:rStyle w:val="Style13"/>
                      </w:rPr>
                      <w:fldChar w:fldCharType="begin"/>
                    </w:r>
                    <w:r>
                      <w:rPr>
                        <w:rStyle w:val="Style13"/>
                      </w:rPr>
                      <w:instrText> PAGE </w:instrText>
                    </w:r>
                    <w:r>
                      <w:rPr>
                        <w:rStyle w:val="Style13"/>
                      </w:rPr>
                      <w:fldChar w:fldCharType="separate"/>
                    </w:r>
                    <w:r>
                      <w:rPr>
                        <w:rStyle w:val="Style13"/>
                      </w:rPr>
                      <w:t>7</w:t>
                    </w:r>
                    <w:r>
                      <w:rPr>
                        <w:rStyle w:val="Style13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b w:val="false"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ind w:left="1106" w:hanging="360"/>
      </w:pPr>
      <w:rPr>
        <w:i/>
        <w:b w:val="false"/>
        <w:szCs w:val="2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2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ind w:firstLine="720"/>
      <w:jc w:val="both"/>
      <w:outlineLvl w:val="1"/>
    </w:pPr>
    <w:rPr>
      <w:b/>
      <w:sz w:val="28"/>
    </w:rPr>
  </w:style>
  <w:style w:type="character" w:styleId="WW8Num1z0">
    <w:name w:val="WW8Num1z0"/>
    <w:qFormat/>
    <w:rPr>
      <w:b w:val="false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i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Номер страницы"/>
    <w:basedOn w:val="Style12"/>
    <w:rPr/>
  </w:style>
  <w:style w:type="character" w:styleId="Style14">
    <w:name w:val="Основной текст с отступом Знак"/>
    <w:qFormat/>
    <w:rPr>
      <w:sz w:val="24"/>
    </w:rPr>
  </w:style>
  <w:style w:type="character" w:styleId="Style15">
    <w:name w:val="Название Знак"/>
    <w:qFormat/>
    <w:rPr>
      <w:b/>
      <w:sz w:val="28"/>
    </w:rPr>
  </w:style>
  <w:style w:type="paragraph" w:styleId="Style16">
    <w:name w:val="Заголовок"/>
    <w:basedOn w:val="Normal"/>
    <w:next w:val="Style17"/>
    <w:qFormat/>
    <w:pPr>
      <w:ind w:left="5670" w:hanging="0"/>
      <w:jc w:val="center"/>
    </w:pPr>
    <w:rPr>
      <w:b/>
      <w:sz w:val="28"/>
    </w:rPr>
  </w:style>
  <w:style w:type="paragraph" w:styleId="Style17">
    <w:name w:val="Body Text"/>
    <w:basedOn w:val="Normal"/>
    <w:pPr>
      <w:jc w:val="both"/>
    </w:pPr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Body Text Indent"/>
    <w:basedOn w:val="Normal"/>
    <w:pPr>
      <w:ind w:firstLine="720"/>
      <w:jc w:val="both"/>
    </w:pPr>
    <w:rPr>
      <w:sz w:val="24"/>
    </w:rPr>
  </w:style>
  <w:style w:type="paragraph" w:styleId="3">
    <w:name w:val="Основной текст 3"/>
    <w:basedOn w:val="Normal"/>
    <w:qFormat/>
    <w:pPr>
      <w:jc w:val="center"/>
    </w:pPr>
    <w:rPr>
      <w:b/>
      <w:sz w:val="28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1">
    <w:name w:val="Основной текст с отступом 2"/>
    <w:basedOn w:val="Normal"/>
    <w:qFormat/>
    <w:pPr>
      <w:ind w:firstLine="720"/>
      <w:jc w:val="both"/>
    </w:pPr>
    <w:rPr>
      <w:sz w:val="28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 Знак Знак"/>
    <w:basedOn w:val="Normal"/>
    <w:qFormat/>
    <w:pPr>
      <w:spacing w:lineRule="exact" w:line="240" w:before="0" w:after="160"/>
    </w:pPr>
    <w:rPr>
      <w:rFonts w:eastAsia="SimSun;宋体"/>
      <w:b/>
      <w:sz w:val="28"/>
      <w:szCs w:val="24"/>
      <w:lang w:val="en-US"/>
    </w:rPr>
  </w:style>
  <w:style w:type="paragraph" w:styleId="Style26">
    <w:name w:val=" Знак Знак Знак Знак Знак Знак"/>
    <w:basedOn w:val="Normal"/>
    <w:qFormat/>
    <w:pPr>
      <w:spacing w:lineRule="exact" w:line="240" w:before="0" w:after="160"/>
    </w:pPr>
    <w:rPr>
      <w:rFonts w:eastAsia="SimSun;宋体"/>
      <w:b/>
      <w:sz w:val="28"/>
      <w:szCs w:val="24"/>
      <w:lang w:val="en-US"/>
    </w:rPr>
  </w:style>
  <w:style w:type="paragraph" w:styleId="Style27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1969</TotalTime>
  <Application>LibreOffice/6.3.4.2$Windows_x86 LibreOffice_project/60da17e045e08f1793c57c00ba83cdfce946d0aa</Application>
  <Pages>7</Pages>
  <Words>1453</Words>
  <Characters>9344</Characters>
  <CharactersWithSpaces>10644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2010-03-29T18:13:00Z</dcterms:created>
  <dc:creator>Ruslan</dc:creator>
  <dc:description/>
  <cp:keywords/>
  <dc:language>ru-RU</dc:language>
  <cp:lastModifiedBy>admin</cp:lastModifiedBy>
  <cp:lastPrinted>2022-04-22T15:44:00Z</cp:lastPrinted>
  <dcterms:modified xsi:type="dcterms:W3CDTF">2022-05-19T09:45:00Z</dcterms:modified>
  <cp:revision>489</cp:revision>
  <dc:subject/>
  <dc:title>Акимам районов и г</dc:title>
</cp:coreProperties>
</file>