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C0" w:rsidRPr="001D11C0" w:rsidRDefault="00756826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="001D11C0" w:rsidRPr="001D11C0">
        <w:rPr>
          <w:rFonts w:ascii="Times New Roman" w:hAnsi="Times New Roman" w:cs="Times New Roman"/>
          <w:b/>
          <w:sz w:val="28"/>
          <w:szCs w:val="28"/>
        </w:rPr>
        <w:t xml:space="preserve"> салу </w:t>
      </w:r>
      <w:proofErr w:type="spell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объектілерінің</w:t>
      </w:r>
      <w:proofErr w:type="spellEnd"/>
      <w:r w:rsidR="001D11C0"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Солтү</w:t>
      </w:r>
      <w:proofErr w:type="gram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1D11C0" w:rsidRPr="001D11C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1D11C0"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1D11C0"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1C0" w:rsidRPr="001D11C0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1D11C0"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1C0" w:rsidRPr="001D11C0" w:rsidRDefault="001D11C0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елді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мекендерінде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орналасуын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1C0" w:rsidRPr="001D11C0" w:rsidRDefault="001D11C0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ескеретін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аймаққа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бөлу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коэффициенттерін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(К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айм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.)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Солтү</w:t>
      </w:r>
      <w:proofErr w:type="gramStart"/>
      <w:r w:rsidRPr="001D11C0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1D11C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1C0" w:rsidRPr="001D11C0" w:rsidRDefault="001D11C0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C0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қарашадағы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№ 310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қаулысына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8AE" w:rsidRDefault="001D11C0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өзгертулер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1D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1C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7568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D10EED" w:rsidRPr="00756826">
        <w:rPr>
          <w:rFonts w:ascii="Times New Roman" w:hAnsi="Times New Roman" w:cs="Times New Roman"/>
          <w:b/>
          <w:sz w:val="28"/>
          <w:szCs w:val="28"/>
          <w:lang w:val="kk-KZ"/>
        </w:rPr>
        <w:t>Солтү</w:t>
      </w:r>
      <w:proofErr w:type="gramStart"/>
      <w:r w:rsidR="00D10EED" w:rsidRPr="00756826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proofErr w:type="gramEnd"/>
      <w:r w:rsidR="00D10EED" w:rsidRPr="007568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ік Қазақстан облысы Есіл ауданы әкімдігінің қаулысы жобасына </w:t>
      </w:r>
    </w:p>
    <w:p w:rsidR="00C45EE6" w:rsidRDefault="00D10EED" w:rsidP="001D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6826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756826" w:rsidRPr="00756826" w:rsidRDefault="00756826" w:rsidP="00C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C73DC4" w:rsidTr="00F8698D">
        <w:tc>
          <w:tcPr>
            <w:tcW w:w="675" w:type="dxa"/>
          </w:tcPr>
          <w:p w:rsidR="00C73DC4" w:rsidRPr="00C73DC4" w:rsidRDefault="00C73DC4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73DC4" w:rsidRPr="00C73DC4" w:rsidRDefault="00D10EED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Жобада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көрсетілуі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тиіс</w:t>
            </w:r>
            <w:proofErr w:type="spellEnd"/>
            <w:proofErr w:type="gram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мәліметтер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5635" w:type="dxa"/>
          </w:tcPr>
          <w:p w:rsidR="00C73DC4" w:rsidRPr="00C73DC4" w:rsidRDefault="00D10EED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Әзірлеуші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атқарушы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органны</w:t>
            </w:r>
            <w:proofErr w:type="gram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ң</w:t>
            </w:r>
            <w:proofErr w:type="spellEnd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0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ақпараты</w:t>
            </w:r>
            <w:proofErr w:type="spellEnd"/>
          </w:p>
        </w:tc>
      </w:tr>
      <w:tr w:rsidR="00C73DC4" w:rsidTr="00F8698D">
        <w:tc>
          <w:tcPr>
            <w:tcW w:w="675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73DC4" w:rsidRPr="000A1027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Әзірлеуші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D10EED" w:rsidRPr="00D10EED" w:rsidRDefault="00F42065" w:rsidP="00D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Есіл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әкімдігі</w:t>
            </w:r>
            <w:proofErr w:type="spellEnd"/>
            <w:r w:rsid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экономика және қаржы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коммуналдық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EED" w:rsidRPr="00D10EED">
              <w:rPr>
                <w:rFonts w:ascii="Times New Roman" w:hAnsi="Times New Roman" w:cs="Times New Roman"/>
                <w:sz w:val="28"/>
                <w:szCs w:val="28"/>
              </w:rPr>
              <w:t>мекемесі</w:t>
            </w:r>
            <w:proofErr w:type="spellEnd"/>
          </w:p>
          <w:p w:rsidR="00C73DC4" w:rsidRPr="000A1027" w:rsidRDefault="00C73DC4" w:rsidP="00D1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C4" w:rsidRPr="009108AE" w:rsidTr="00F8698D">
        <w:tc>
          <w:tcPr>
            <w:tcW w:w="675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73DC4" w:rsidRPr="000A1027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Тиі</w:t>
            </w:r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актілерге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ратификациялаған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шарттардың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нормаларына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қатысушысы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табылатын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шешімдеріне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Президенттің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Әкімшілігі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Үкімет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Үкімет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басшылығының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хаттамалық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өзге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тапсырмаларына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сілтеме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негіздемелер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оны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қажеттігінің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негіздемелері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108AE" w:rsidRPr="009108AE" w:rsidRDefault="009108AE" w:rsidP="009108A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108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Республикасының 2017 жылғы 25 желтоқсандағы «Салық және бюджетке төленетін басқа да міндетті төлемдер туралы» (Салық кодексі) Кодексінің 529-бабы 6-тармағына,   «Аймаққа бөлу коэффициентін есептеу әдістемесін бекіту туралы» Қазақстан Республикасы Ақпараттық және коммуникация  министрінің 2018 жылғы 12 қарашадағы № 475 бұйрығына сәйкес (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актілерді мемлекеттік тіркеу тізілімінде № 17847 болып тіркелді</w:t>
            </w:r>
            <w:r w:rsidRPr="009108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) </w:t>
            </w:r>
          </w:p>
          <w:p w:rsidR="009108AE" w:rsidRPr="009108AE" w:rsidRDefault="009108AE" w:rsidP="009108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9108AE" w:rsidRPr="009108AE" w:rsidRDefault="009108AE" w:rsidP="009108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A70FDA" w:rsidRPr="009108AE" w:rsidRDefault="00A70FDA" w:rsidP="00910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3DC4" w:rsidRPr="00B56476" w:rsidTr="00F8698D">
        <w:tc>
          <w:tcPr>
            <w:tcW w:w="675" w:type="dxa"/>
          </w:tcPr>
          <w:p w:rsidR="00C73DC4" w:rsidRPr="00571032" w:rsidRDefault="0080772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C73DC4" w:rsidRPr="00F8698D" w:rsidRDefault="00724260" w:rsidP="000A1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 бойынша қаржы шығындарының қажеттігі және оның қаржылық қамтамасыз етілуі, оның ішінде </w:t>
            </w:r>
            <w:r w:rsidRPr="00571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қаржыландыру көзі, сондай-ақ қаж</w:t>
            </w:r>
            <w:r w:rsidRPr="00F869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 болған жағдайда Республикалық бюджет комиссиясының шешімі (тиісті есеп-қисаптар, қаржыландыру көзіне сілтеме, Республикалық бюджет комиссиясы шешімінің көшірмесі міндетті түрде түсіндірме жазбаға қоса беріледі).</w:t>
            </w:r>
          </w:p>
        </w:tc>
        <w:tc>
          <w:tcPr>
            <w:tcW w:w="5635" w:type="dxa"/>
          </w:tcPr>
          <w:p w:rsidR="00C73DC4" w:rsidRPr="007B0E26" w:rsidRDefault="004B0F2D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Бұл жоба қаржылық шығындарды қарастырмайды.</w:t>
            </w:r>
          </w:p>
        </w:tc>
      </w:tr>
      <w:tr w:rsidR="00C73DC4" w:rsidTr="00F8698D">
        <w:tc>
          <w:tcPr>
            <w:tcW w:w="675" w:type="dxa"/>
          </w:tcPr>
          <w:p w:rsidR="00C73DC4" w:rsidRPr="00724260" w:rsidRDefault="0080772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C73DC4" w:rsidRPr="000A1027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жағдайда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болжанатын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әлеуметтік-экономикалық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өзге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салдар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ережелерінің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іпсіздікті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етуге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ықпалы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C73DC4" w:rsidRDefault="004B0F2D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жағдайда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болжамды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әлеуметтік-экономикалық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өзге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салдарларды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ережелерінің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іпсіздікті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етуге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әсерін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көздемейді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DC4" w:rsidTr="00F8698D">
        <w:tc>
          <w:tcPr>
            <w:tcW w:w="675" w:type="dxa"/>
          </w:tcPr>
          <w:p w:rsidR="00C73DC4" w:rsidRPr="00724260" w:rsidRDefault="0080772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73DC4" w:rsidRPr="00987C31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мақсаттар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күтілетін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әтижелердің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мерзімдері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C73DC4" w:rsidRPr="00D635C2" w:rsidRDefault="004B0F2D" w:rsidP="002F1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актілерге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F2D">
              <w:rPr>
                <w:rFonts w:ascii="Times New Roman" w:hAnsi="Times New Roman" w:cs="Times New Roman"/>
                <w:sz w:val="28"/>
                <w:szCs w:val="28"/>
              </w:rPr>
              <w:t>келтіру</w:t>
            </w:r>
            <w:proofErr w:type="spellEnd"/>
            <w:r w:rsidR="002F1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73DC4" w:rsidRPr="00B56476" w:rsidTr="00F8698D">
        <w:tc>
          <w:tcPr>
            <w:tcW w:w="675" w:type="dxa"/>
          </w:tcPr>
          <w:p w:rsidR="00C73DC4" w:rsidRPr="00724260" w:rsidRDefault="0080772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73DC4" w:rsidRPr="00987C31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қаралатын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Президенттің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Үкіметтің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бұрын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актілері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олардың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асырылу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201420" w:rsidRDefault="009108AE" w:rsidP="00910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 салу объектілерінің Солтүстік Қазақстан облысы Есіл ауданының елді мекендерінде орналасуын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ескеретін аймаққа бөлу коэффициенттерін (К айм.) бекіту туралы» Солтүстік Қазақстан облысы Есіл ауданы әкімдігінің 2018 жылғы 30 қарашадағы № 310 қаулысы</w:t>
            </w:r>
            <w:r w:rsidR="000356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жылғы 11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5026 болып тіркелді</w:t>
            </w:r>
            <w:r w:rsidR="000356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9108AE" w:rsidRDefault="009108AE" w:rsidP="00910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 салу объектілерінің Солтүстік Қазақстан облысы Есіл ауданының елді мекендерінде орналасуын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ескеретін аймаққа бөлу коэффициенттерін (К айм.) бекіту туралы» Солтүстік Қазақстан облысы Есіл ауданы әкімдігінің 2018 жылғы 30 қарашадағы № 310 қаулысы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өзгертулер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енгізу туралы» 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облысы Есіл ауданы әкімдігінің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желтоқсандағы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қаулысы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743</w:t>
            </w:r>
            <w:r w:rsidRPr="009108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болып тіркелді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0356AC" w:rsidRDefault="000356AC" w:rsidP="000356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56AC" w:rsidRPr="00B1185D" w:rsidRDefault="000356AC" w:rsidP="00B11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4260" w:rsidTr="00F8698D">
        <w:tc>
          <w:tcPr>
            <w:tcW w:w="675" w:type="dxa"/>
          </w:tcPr>
          <w:p w:rsidR="00724260" w:rsidRPr="00724260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724260" w:rsidRPr="0080322E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Енгізілетін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қабылданған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жағдайда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заңнаманы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келтіру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қажеттігі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актілерді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қолданыстағы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актілерге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толықтырулар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етілетін-етілмейтіні</w:t>
            </w:r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ондай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қажеттіліктің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болмауы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724260" w:rsidRPr="0080322E" w:rsidRDefault="00CD69A0" w:rsidP="00CD6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724260" w:rsidRPr="00B56476" w:rsidTr="00F8698D">
        <w:tc>
          <w:tcPr>
            <w:tcW w:w="675" w:type="dxa"/>
          </w:tcPr>
          <w:p w:rsidR="00724260" w:rsidRPr="00724260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24260" w:rsidRPr="0080322E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актінің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жобасын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органның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ресурсында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актілердің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порталында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, байт саны).</w:t>
            </w:r>
          </w:p>
        </w:tc>
        <w:tc>
          <w:tcPr>
            <w:tcW w:w="5635" w:type="dxa"/>
          </w:tcPr>
          <w:p w:rsidR="00724260" w:rsidRDefault="00495E7B" w:rsidP="0055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Көрсетілген акт мемлекеттік органның сайтында </w:t>
            </w:r>
          </w:p>
          <w:p w:rsidR="00495E7B" w:rsidRDefault="00495E7B" w:rsidP="0055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5E7B" w:rsidRDefault="00495E7B" w:rsidP="0055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сондай-ақ ашық нормативтік құқықтық актілердің интернет-порталында орналастырылған</w:t>
            </w:r>
          </w:p>
          <w:p w:rsidR="00B56476" w:rsidRPr="00B56476" w:rsidRDefault="00B56476" w:rsidP="00B56476">
            <w:pPr>
              <w:rPr>
                <w:sz w:val="28"/>
                <w:szCs w:val="28"/>
                <w:lang w:val="kk-KZ"/>
              </w:rPr>
            </w:pPr>
            <w:hyperlink r:id="rId6" w:history="1">
              <w:r w:rsidRPr="00B56476">
                <w:rPr>
                  <w:rStyle w:val="a4"/>
                  <w:sz w:val="28"/>
                  <w:szCs w:val="28"/>
                  <w:lang w:val="kk-KZ"/>
                </w:rPr>
                <w:t>https://legalacts.egov.kz/arm/admin/viewcategory?id=2351406&amp;type=2</w:t>
              </w:r>
            </w:hyperlink>
          </w:p>
          <w:p w:rsidR="00F8698D" w:rsidRPr="00FC340F" w:rsidRDefault="00F8698D" w:rsidP="0055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24260" w:rsidRPr="00756826" w:rsidTr="00F8698D">
        <w:tc>
          <w:tcPr>
            <w:tcW w:w="675" w:type="dxa"/>
          </w:tcPr>
          <w:p w:rsidR="00724260" w:rsidRPr="00724260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24260" w:rsidRPr="0080322E" w:rsidRDefault="00724260" w:rsidP="00C6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актінің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жобасына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9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пресс-релизді</w:t>
            </w: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уәкілетті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органдардың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ресурстарында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724260" w:rsidRDefault="00C61972" w:rsidP="00327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Пресс-релиз мемлекеттік органның </w:t>
            </w:r>
            <w:r w:rsidR="00AE6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сайтында орналастырылды</w:t>
            </w:r>
          </w:p>
          <w:p w:rsidR="0032755D" w:rsidRPr="0032755D" w:rsidRDefault="0032755D" w:rsidP="00327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724260" w:rsidTr="00F8698D">
        <w:tc>
          <w:tcPr>
            <w:tcW w:w="675" w:type="dxa"/>
          </w:tcPr>
          <w:p w:rsidR="00724260" w:rsidRPr="00724260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24260" w:rsidRPr="0080322E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жобасының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ратификациялаған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шарттар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қатысушысы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табылатын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шешімдеріне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сәйкестігі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724260" w:rsidRPr="0080322E" w:rsidRDefault="0032755D" w:rsidP="00327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Жоқ</w:t>
            </w:r>
          </w:p>
        </w:tc>
      </w:tr>
      <w:tr w:rsidR="00724260" w:rsidTr="00F8698D">
        <w:tc>
          <w:tcPr>
            <w:tcW w:w="675" w:type="dxa"/>
          </w:tcPr>
          <w:p w:rsidR="00724260" w:rsidRPr="00724260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724260" w:rsidRPr="0080322E" w:rsidRDefault="0072426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акті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жобасының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қолданысқа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енгізілуіне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кәсіпкерлік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субъектілері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шығынының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азаюын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ұлғаюын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  <w:proofErr w:type="gram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қисаптар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72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724260" w:rsidRPr="0080322E" w:rsidRDefault="0032755D" w:rsidP="00327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</w:tbl>
    <w:p w:rsidR="00C73DC4" w:rsidRPr="00C73DC4" w:rsidRDefault="00C73DC4" w:rsidP="00C7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A" w:rsidRPr="004520DA" w:rsidRDefault="004520DA" w:rsidP="00452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520DA" w:rsidRPr="0045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1"/>
    <w:rsid w:val="00004822"/>
    <w:rsid w:val="000356AC"/>
    <w:rsid w:val="000A1027"/>
    <w:rsid w:val="000A11EE"/>
    <w:rsid w:val="000E2151"/>
    <w:rsid w:val="001D11C0"/>
    <w:rsid w:val="00201420"/>
    <w:rsid w:val="002F1713"/>
    <w:rsid w:val="0032755D"/>
    <w:rsid w:val="004520DA"/>
    <w:rsid w:val="0045303C"/>
    <w:rsid w:val="00495E7B"/>
    <w:rsid w:val="004B0F2D"/>
    <w:rsid w:val="005574AD"/>
    <w:rsid w:val="00571032"/>
    <w:rsid w:val="005B78E1"/>
    <w:rsid w:val="00715FAA"/>
    <w:rsid w:val="00724260"/>
    <w:rsid w:val="00756826"/>
    <w:rsid w:val="00775EEF"/>
    <w:rsid w:val="007B0E26"/>
    <w:rsid w:val="007E7248"/>
    <w:rsid w:val="0080322E"/>
    <w:rsid w:val="00807720"/>
    <w:rsid w:val="008D5D10"/>
    <w:rsid w:val="009108AE"/>
    <w:rsid w:val="00987C31"/>
    <w:rsid w:val="00A04F91"/>
    <w:rsid w:val="00A70FDA"/>
    <w:rsid w:val="00AE6892"/>
    <w:rsid w:val="00B1185D"/>
    <w:rsid w:val="00B56476"/>
    <w:rsid w:val="00C45EE6"/>
    <w:rsid w:val="00C61972"/>
    <w:rsid w:val="00C73DC4"/>
    <w:rsid w:val="00CA5712"/>
    <w:rsid w:val="00CD4717"/>
    <w:rsid w:val="00CD69A0"/>
    <w:rsid w:val="00D10EED"/>
    <w:rsid w:val="00D15698"/>
    <w:rsid w:val="00D35A10"/>
    <w:rsid w:val="00D635C2"/>
    <w:rsid w:val="00E02095"/>
    <w:rsid w:val="00E33719"/>
    <w:rsid w:val="00F250F8"/>
    <w:rsid w:val="00F42065"/>
    <w:rsid w:val="00F8698D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C3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C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arm/admin/viewcategory?id=2351406&amp;typ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40C-C745-4603-B0C6-BF51AC19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2023-02-17T04:34:00Z</dcterms:created>
  <dcterms:modified xsi:type="dcterms:W3CDTF">2024-01-10T08:25:00Z</dcterms:modified>
</cp:coreProperties>
</file>